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9A0" w:rsidP="00525CD6" w:rsidRDefault="001449A0" w14:paraId="25112D57" w14:textId="39812603">
      <w:pPr>
        <w:pStyle w:val="Heading1"/>
        <w:rPr>
          <w:noProof/>
          <w:szCs w:val="28"/>
          <w:lang w:eastAsia="en-GB"/>
        </w:rPr>
      </w:pPr>
      <w:bookmarkStart w:name="_Toc373745886" w:id="0"/>
    </w:p>
    <w:p w:rsidR="00410B69" w:rsidP="00410B69" w:rsidRDefault="004778C6" w14:paraId="1F053388" w14:textId="057E9EE5">
      <w:pPr>
        <w:jc w:val="center"/>
        <w:rPr>
          <w:lang w:eastAsia="en-GB"/>
        </w:rPr>
      </w:pPr>
      <w:r>
        <w:rPr>
          <w:noProof/>
          <w:lang w:eastAsia="en-GB"/>
        </w:rPr>
        <w:drawing>
          <wp:inline distT="0" distB="0" distL="0" distR="0" wp14:anchorId="65A25BE8" wp14:editId="20ACAD46">
            <wp:extent cx="6007100" cy="1010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7100" cy="1010285"/>
                    </a:xfrm>
                    <a:prstGeom prst="rect">
                      <a:avLst/>
                    </a:prstGeom>
                    <a:noFill/>
                    <a:ln>
                      <a:noFill/>
                    </a:ln>
                  </pic:spPr>
                </pic:pic>
              </a:graphicData>
            </a:graphic>
          </wp:inline>
        </w:drawing>
      </w:r>
    </w:p>
    <w:p w:rsidR="00410B69" w:rsidP="00410B69" w:rsidRDefault="00410B69" w14:paraId="2596A27A" w14:textId="1A96E96C">
      <w:pPr>
        <w:jc w:val="center"/>
        <w:rPr>
          <w:lang w:eastAsia="en-GB"/>
        </w:rPr>
      </w:pPr>
    </w:p>
    <w:p w:rsidR="008608B8" w:rsidP="00525CD6" w:rsidRDefault="008608B8" w14:paraId="1EE3F365" w14:textId="66FFFC4A">
      <w:pPr>
        <w:pStyle w:val="Heading1"/>
      </w:pPr>
    </w:p>
    <w:p w:rsidR="008608B8" w:rsidP="00525CD6" w:rsidRDefault="008608B8" w14:paraId="29FD31B3" w14:textId="3E6388CB">
      <w:pPr>
        <w:pStyle w:val="Heading1"/>
      </w:pPr>
    </w:p>
    <w:p w:rsidRPr="008608B8" w:rsidR="008608B8" w:rsidP="008608B8" w:rsidRDefault="008608B8" w14:paraId="716868DB" w14:textId="1CCD5F96"/>
    <w:p w:rsidR="008608B8" w:rsidP="00525CD6" w:rsidRDefault="008608B8" w14:paraId="4D8B88AD" w14:textId="77777777">
      <w:pPr>
        <w:pStyle w:val="Heading1"/>
      </w:pPr>
    </w:p>
    <w:p w:rsidR="00D90357" w:rsidP="00525CD6" w:rsidRDefault="00D90357" w14:paraId="7D073D12" w14:textId="77777777">
      <w:pPr>
        <w:pStyle w:val="Heading1"/>
      </w:pPr>
    </w:p>
    <w:p w:rsidR="00D90357" w:rsidP="00525CD6" w:rsidRDefault="00D90357" w14:paraId="19BECEC8" w14:textId="5628158F">
      <w:pPr>
        <w:pStyle w:val="Heading1"/>
      </w:pPr>
    </w:p>
    <w:p w:rsidRPr="006B3B4E" w:rsidR="006B3B4E" w:rsidP="002C4ADA" w:rsidRDefault="006B3B4E" w14:paraId="5ACFEE2F" w14:textId="77777777"/>
    <w:p w:rsidR="00D90357" w:rsidP="00525CD6" w:rsidRDefault="00D90357" w14:paraId="480F9038" w14:textId="77777777">
      <w:pPr>
        <w:pStyle w:val="Heading1"/>
      </w:pPr>
    </w:p>
    <w:p w:rsidR="00D90357" w:rsidP="00525CD6" w:rsidRDefault="00D90357" w14:paraId="181C8BB7" w14:textId="77777777">
      <w:pPr>
        <w:pStyle w:val="Heading1"/>
      </w:pPr>
    </w:p>
    <w:p w:rsidRPr="00D90357" w:rsidR="001449A0" w:rsidP="002C4ADA" w:rsidRDefault="001449A0" w14:paraId="1A289704" w14:textId="77777777">
      <w:pPr>
        <w:pStyle w:val="Heading1"/>
        <w:jc w:val="center"/>
      </w:pPr>
      <w:r w:rsidRPr="00D90357">
        <w:t>Request for Proposal</w:t>
      </w:r>
      <w:r w:rsidRPr="00D90357" w:rsidR="00410B69">
        <w:t>s</w:t>
      </w:r>
      <w:r w:rsidRPr="00D90357">
        <w:t xml:space="preserve"> (RFP)</w:t>
      </w:r>
    </w:p>
    <w:p w:rsidRPr="00D90357" w:rsidR="001449A0" w:rsidP="002C4ADA" w:rsidRDefault="001449A0" w14:paraId="22363C63" w14:textId="77777777">
      <w:pPr>
        <w:pStyle w:val="Heading1"/>
        <w:jc w:val="center"/>
      </w:pPr>
      <w:r w:rsidRPr="00D90357">
        <w:t>for the service provision of</w:t>
      </w:r>
    </w:p>
    <w:p w:rsidRPr="00D90357" w:rsidR="001449A0" w:rsidP="001449A0" w:rsidRDefault="001449A0" w14:paraId="15B763D4" w14:textId="77777777">
      <w:pPr>
        <w:jc w:val="center"/>
        <w:rPr>
          <w:rFonts w:ascii="Arial" w:hAnsi="Arial" w:cs="Arial"/>
          <w:b/>
          <w:sz w:val="36"/>
          <w:szCs w:val="36"/>
        </w:rPr>
      </w:pPr>
    </w:p>
    <w:p w:rsidR="001449A0" w:rsidP="001449A0" w:rsidRDefault="001449A0" w14:paraId="377D88E5" w14:textId="75F155BD">
      <w:pPr>
        <w:jc w:val="center"/>
        <w:rPr>
          <w:rFonts w:ascii="Arial" w:hAnsi="Arial" w:cs="Arial"/>
          <w:b/>
          <w:sz w:val="36"/>
          <w:szCs w:val="36"/>
        </w:rPr>
      </w:pPr>
    </w:p>
    <w:p w:rsidR="006B3B4E" w:rsidP="001449A0" w:rsidRDefault="006B3B4E" w14:paraId="46733D9A" w14:textId="4E0F2638">
      <w:pPr>
        <w:jc w:val="center"/>
        <w:rPr>
          <w:rFonts w:ascii="Arial" w:hAnsi="Arial" w:cs="Arial"/>
          <w:b/>
          <w:sz w:val="36"/>
          <w:szCs w:val="36"/>
        </w:rPr>
      </w:pPr>
    </w:p>
    <w:p w:rsidRPr="00D90357" w:rsidR="006B3B4E" w:rsidP="001449A0" w:rsidRDefault="006B3B4E" w14:paraId="363A140D" w14:textId="77777777">
      <w:pPr>
        <w:jc w:val="center"/>
        <w:rPr>
          <w:rFonts w:ascii="Arial" w:hAnsi="Arial" w:cs="Arial"/>
          <w:b/>
          <w:sz w:val="36"/>
          <w:szCs w:val="36"/>
        </w:rPr>
      </w:pPr>
    </w:p>
    <w:p w:rsidRPr="00386F91" w:rsidR="00D90357" w:rsidP="001449A0" w:rsidRDefault="00D90357" w14:paraId="65F97A9A" w14:textId="77777777">
      <w:pPr>
        <w:jc w:val="center"/>
        <w:rPr>
          <w:rFonts w:ascii="Arial" w:hAnsi="Arial" w:cs="Arial"/>
          <w:b/>
          <w:sz w:val="40"/>
          <w:szCs w:val="36"/>
        </w:rPr>
      </w:pPr>
    </w:p>
    <w:p w:rsidRPr="00EC6EBE" w:rsidR="00EC6EBE" w:rsidP="00EC6EBE" w:rsidRDefault="00EC6EBE" w14:paraId="72987762" w14:textId="77777777">
      <w:pPr>
        <w:jc w:val="center"/>
        <w:rPr>
          <w:rFonts w:ascii="Arial" w:hAnsi="Arial" w:cs="Arial"/>
          <w:b/>
          <w:sz w:val="32"/>
          <w:szCs w:val="28"/>
        </w:rPr>
      </w:pPr>
      <w:bookmarkStart w:name="_Hlk141371099" w:id="1"/>
      <w:bookmarkStart w:name="_Hlk141373884" w:id="2"/>
      <w:r w:rsidRPr="00EC6EBE">
        <w:rPr>
          <w:rFonts w:ascii="Arial" w:hAnsi="Arial" w:cs="Arial"/>
          <w:b/>
          <w:sz w:val="32"/>
          <w:szCs w:val="28"/>
        </w:rPr>
        <w:t>An exploratory research study to understand the high numbers of First Time Entrants into the youth justice system in Nottingham and Nottinghamshire</w:t>
      </w:r>
    </w:p>
    <w:bookmarkEnd w:id="1"/>
    <w:p w:rsidRPr="00D90357" w:rsidR="001449A0" w:rsidP="001449A0" w:rsidRDefault="001449A0" w14:paraId="15A30DCD" w14:textId="77777777">
      <w:pPr>
        <w:jc w:val="center"/>
        <w:rPr>
          <w:rFonts w:ascii="Arial" w:hAnsi="Arial" w:cs="Arial"/>
          <w:b/>
          <w:bCs/>
          <w:sz w:val="32"/>
          <w:szCs w:val="32"/>
        </w:rPr>
      </w:pPr>
    </w:p>
    <w:bookmarkEnd w:id="2"/>
    <w:p w:rsidR="001449A0" w:rsidP="001449A0" w:rsidRDefault="001449A0" w14:paraId="6F6431AC" w14:textId="57DE15F5">
      <w:pPr>
        <w:jc w:val="center"/>
        <w:rPr>
          <w:rFonts w:ascii="Arial" w:hAnsi="Arial" w:cs="Arial"/>
          <w:b/>
          <w:noProof/>
          <w:sz w:val="32"/>
          <w:szCs w:val="32"/>
        </w:rPr>
      </w:pPr>
    </w:p>
    <w:p w:rsidR="006B3B4E" w:rsidP="001449A0" w:rsidRDefault="006B3B4E" w14:paraId="7DFD3F8D" w14:textId="777C10EF">
      <w:pPr>
        <w:jc w:val="center"/>
        <w:rPr>
          <w:rFonts w:ascii="Arial" w:hAnsi="Arial" w:cs="Arial"/>
          <w:b/>
          <w:noProof/>
          <w:sz w:val="32"/>
          <w:szCs w:val="32"/>
        </w:rPr>
      </w:pPr>
    </w:p>
    <w:p w:rsidRPr="00D90357" w:rsidR="006B3B4E" w:rsidP="001449A0" w:rsidRDefault="006B3B4E" w14:paraId="6DA2A5D2" w14:textId="77777777">
      <w:pPr>
        <w:jc w:val="center"/>
        <w:rPr>
          <w:rFonts w:ascii="Arial" w:hAnsi="Arial" w:cs="Arial"/>
          <w:b/>
          <w:noProof/>
          <w:sz w:val="32"/>
          <w:szCs w:val="32"/>
        </w:rPr>
      </w:pPr>
    </w:p>
    <w:p w:rsidRPr="00D90357" w:rsidR="008608B8" w:rsidP="001449A0" w:rsidRDefault="008608B8" w14:paraId="71D28021" w14:textId="77777777">
      <w:pPr>
        <w:rPr>
          <w:rFonts w:ascii="Arial" w:hAnsi="Arial" w:cs="Arial"/>
          <w:sz w:val="32"/>
          <w:szCs w:val="32"/>
        </w:rPr>
      </w:pPr>
    </w:p>
    <w:p w:rsidRPr="00D90357" w:rsidR="008608B8" w:rsidP="001449A0" w:rsidRDefault="008608B8" w14:paraId="338A5A84" w14:textId="77777777">
      <w:pPr>
        <w:rPr>
          <w:rFonts w:ascii="Arial" w:hAnsi="Arial" w:cs="Arial"/>
          <w:sz w:val="32"/>
          <w:szCs w:val="32"/>
        </w:rPr>
      </w:pPr>
    </w:p>
    <w:p w:rsidRPr="00D90357" w:rsidR="001449A0" w:rsidP="001449A0" w:rsidRDefault="008608B8" w14:paraId="5DBF3C6A" w14:textId="047734F6">
      <w:pPr>
        <w:rPr>
          <w:rFonts w:ascii="Arial" w:hAnsi="Arial" w:cs="Arial"/>
          <w:sz w:val="28"/>
          <w:szCs w:val="28"/>
        </w:rPr>
      </w:pPr>
      <w:r w:rsidRPr="00B712C2">
        <w:rPr>
          <w:rFonts w:ascii="Arial" w:hAnsi="Arial" w:cs="Arial"/>
          <w:sz w:val="28"/>
          <w:szCs w:val="28"/>
        </w:rPr>
        <w:t xml:space="preserve">Ref: </w:t>
      </w:r>
      <w:r w:rsidRPr="00B712C2">
        <w:rPr>
          <w:rFonts w:ascii="Arial" w:hAnsi="Arial" w:cs="Arial"/>
          <w:sz w:val="28"/>
          <w:szCs w:val="28"/>
        </w:rPr>
        <w:tab/>
      </w:r>
      <w:r w:rsidRPr="00B712C2">
        <w:rPr>
          <w:rFonts w:ascii="Arial" w:hAnsi="Arial" w:cs="Arial"/>
          <w:sz w:val="28"/>
          <w:szCs w:val="28"/>
        </w:rPr>
        <w:tab/>
      </w:r>
      <w:r w:rsidRPr="00B712C2" w:rsidR="00D90357">
        <w:rPr>
          <w:rFonts w:ascii="Arial" w:hAnsi="Arial" w:cs="Arial"/>
          <w:sz w:val="28"/>
          <w:szCs w:val="28"/>
        </w:rPr>
        <w:tab/>
      </w:r>
      <w:r w:rsidRPr="00B712C2" w:rsidR="00B712C2">
        <w:rPr>
          <w:rFonts w:ascii="Arial" w:hAnsi="Arial" w:cs="Arial"/>
          <w:sz w:val="28"/>
          <w:szCs w:val="28"/>
        </w:rPr>
        <w:t>2023/919b</w:t>
      </w:r>
    </w:p>
    <w:p w:rsidRPr="00D90357" w:rsidR="008608B8" w:rsidP="001449A0" w:rsidRDefault="008608B8" w14:paraId="0C7D8CC5" w14:textId="77777777">
      <w:pPr>
        <w:rPr>
          <w:rFonts w:ascii="Arial" w:hAnsi="Arial" w:cs="Arial"/>
          <w:sz w:val="28"/>
          <w:szCs w:val="28"/>
        </w:rPr>
      </w:pPr>
    </w:p>
    <w:p w:rsidRPr="00DD0877" w:rsidR="001449A0" w:rsidP="001449A0" w:rsidRDefault="001449A0" w14:paraId="478E2860" w14:textId="300A3BF2">
      <w:pPr>
        <w:rPr>
          <w:rFonts w:ascii="Arial" w:hAnsi="Arial" w:cs="Arial"/>
          <w:sz w:val="28"/>
          <w:szCs w:val="28"/>
        </w:rPr>
      </w:pPr>
      <w:r w:rsidRPr="00A75044">
        <w:rPr>
          <w:rFonts w:ascii="Arial" w:hAnsi="Arial" w:cs="Arial"/>
          <w:sz w:val="28"/>
          <w:szCs w:val="28"/>
        </w:rPr>
        <w:t>Issue Date:</w:t>
      </w:r>
      <w:r w:rsidRPr="00DD0877">
        <w:rPr>
          <w:rFonts w:ascii="Arial" w:hAnsi="Arial" w:cs="Arial"/>
          <w:sz w:val="28"/>
          <w:szCs w:val="28"/>
        </w:rPr>
        <w:t xml:space="preserve"> </w:t>
      </w:r>
      <w:r w:rsidRPr="00DD0877" w:rsidR="008608B8">
        <w:rPr>
          <w:rFonts w:ascii="Arial" w:hAnsi="Arial" w:cs="Arial"/>
          <w:sz w:val="28"/>
          <w:szCs w:val="28"/>
        </w:rPr>
        <w:tab/>
      </w:r>
      <w:r w:rsidR="00E4424C">
        <w:rPr>
          <w:rFonts w:ascii="Arial" w:hAnsi="Arial" w:cs="Arial"/>
          <w:sz w:val="28"/>
          <w:szCs w:val="28"/>
        </w:rPr>
        <w:t>1</w:t>
      </w:r>
      <w:r w:rsidRPr="00E4424C" w:rsidR="00E4424C">
        <w:rPr>
          <w:rFonts w:ascii="Arial" w:hAnsi="Arial" w:cs="Arial"/>
          <w:sz w:val="28"/>
          <w:szCs w:val="28"/>
          <w:vertAlign w:val="superscript"/>
        </w:rPr>
        <w:t>st</w:t>
      </w:r>
      <w:r w:rsidR="00E4424C">
        <w:rPr>
          <w:rFonts w:ascii="Arial" w:hAnsi="Arial" w:cs="Arial"/>
          <w:sz w:val="28"/>
          <w:szCs w:val="28"/>
        </w:rPr>
        <w:t xml:space="preserve"> August</w:t>
      </w:r>
      <w:r w:rsidR="00A75044">
        <w:rPr>
          <w:rFonts w:ascii="Arial" w:hAnsi="Arial" w:cs="Arial"/>
          <w:sz w:val="28"/>
          <w:szCs w:val="28"/>
        </w:rPr>
        <w:t xml:space="preserve"> 2023</w:t>
      </w:r>
    </w:p>
    <w:p w:rsidRPr="00DD0877" w:rsidR="001449A0" w:rsidP="001449A0" w:rsidRDefault="001449A0" w14:paraId="33AFB74E" w14:textId="77777777">
      <w:pPr>
        <w:rPr>
          <w:rFonts w:ascii="Arial" w:hAnsi="Arial" w:cs="Arial"/>
          <w:sz w:val="28"/>
          <w:szCs w:val="28"/>
        </w:rPr>
      </w:pPr>
    </w:p>
    <w:p w:rsidR="001449A0" w:rsidP="001449A0" w:rsidRDefault="001449A0" w14:paraId="6B5E1120" w14:textId="2EE0F895">
      <w:pPr>
        <w:rPr>
          <w:rFonts w:ascii="Arial" w:hAnsi="Arial" w:cs="Arial"/>
          <w:b/>
        </w:rPr>
      </w:pPr>
    </w:p>
    <w:p w:rsidR="000B1DD5" w:rsidP="001449A0" w:rsidRDefault="000B1DD5" w14:paraId="07AD393C" w14:textId="1B7962C1">
      <w:pPr>
        <w:rPr>
          <w:rFonts w:ascii="Arial" w:hAnsi="Arial" w:cs="Arial"/>
          <w:b/>
        </w:rPr>
      </w:pPr>
    </w:p>
    <w:p w:rsidR="000B1DD5" w:rsidP="001449A0" w:rsidRDefault="000B1DD5" w14:paraId="1ACE432F" w14:textId="410D48DB">
      <w:pPr>
        <w:rPr>
          <w:rFonts w:ascii="Arial" w:hAnsi="Arial" w:cs="Arial"/>
          <w:b/>
        </w:rPr>
      </w:pPr>
    </w:p>
    <w:p w:rsidR="00C60B3D" w:rsidP="001449A0" w:rsidRDefault="00C60B3D" w14:paraId="35B0C9A8" w14:textId="77777777">
      <w:pPr>
        <w:rPr>
          <w:rFonts w:ascii="Arial" w:hAnsi="Arial" w:cs="Arial"/>
          <w:b/>
        </w:rPr>
      </w:pPr>
    </w:p>
    <w:p w:rsidR="000B1DD5" w:rsidP="001449A0" w:rsidRDefault="000B1DD5" w14:paraId="30223170" w14:textId="689C1ACC">
      <w:pPr>
        <w:rPr>
          <w:rFonts w:ascii="Arial" w:hAnsi="Arial" w:cs="Arial"/>
          <w:b/>
        </w:rPr>
      </w:pPr>
    </w:p>
    <w:p w:rsidR="004778C6" w:rsidP="001449A0" w:rsidRDefault="004778C6" w14:paraId="47BCF553" w14:textId="228E289D">
      <w:pPr>
        <w:rPr>
          <w:rFonts w:ascii="Arial" w:hAnsi="Arial" w:cs="Arial"/>
          <w:b/>
        </w:rPr>
      </w:pPr>
    </w:p>
    <w:p w:rsidR="004778C6" w:rsidP="001449A0" w:rsidRDefault="004778C6" w14:paraId="42B8C236" w14:textId="77777777">
      <w:pPr>
        <w:rPr>
          <w:rFonts w:ascii="Arial" w:hAnsi="Arial" w:cs="Arial"/>
          <w:b/>
        </w:rPr>
      </w:pPr>
    </w:p>
    <w:p w:rsidR="000B1DD5" w:rsidP="001449A0" w:rsidRDefault="000B1DD5" w14:paraId="72ABA313" w14:textId="3D9C07B7">
      <w:pPr>
        <w:rPr>
          <w:rFonts w:ascii="Arial" w:hAnsi="Arial" w:cs="Arial"/>
          <w:b/>
        </w:rPr>
      </w:pPr>
    </w:p>
    <w:p w:rsidRPr="00E2446C" w:rsidR="00141A58" w:rsidP="002C4ADA" w:rsidRDefault="003F7348" w14:paraId="18D5F839" w14:textId="3498FE86">
      <w:pPr>
        <w:rPr>
          <w:rFonts w:ascii="Arial" w:hAnsi="Arial" w:cs="Arial"/>
          <w:b/>
          <w:sz w:val="28"/>
          <w:szCs w:val="28"/>
        </w:rPr>
      </w:pPr>
      <w:r w:rsidRPr="00E2446C">
        <w:rPr>
          <w:rFonts w:ascii="Arial" w:hAnsi="Arial" w:cs="Arial"/>
          <w:b/>
          <w:sz w:val="28"/>
          <w:szCs w:val="28"/>
        </w:rPr>
        <w:t>1</w:t>
      </w:r>
      <w:r w:rsidRPr="00E2446C">
        <w:rPr>
          <w:rFonts w:ascii="Arial" w:hAnsi="Arial" w:cs="Arial"/>
          <w:b/>
          <w:sz w:val="28"/>
          <w:szCs w:val="28"/>
        </w:rPr>
        <w:tab/>
      </w:r>
      <w:r w:rsidR="00EC6EBE">
        <w:rPr>
          <w:rFonts w:ascii="Arial" w:hAnsi="Arial" w:cs="Arial"/>
          <w:b/>
          <w:sz w:val="28"/>
          <w:szCs w:val="28"/>
        </w:rPr>
        <w:t>Preamble</w:t>
      </w:r>
    </w:p>
    <w:p w:rsidR="00573460" w:rsidP="00386F91" w:rsidRDefault="00573460" w14:paraId="56D8FC62" w14:textId="77777777">
      <w:pPr>
        <w:pStyle w:val="BodyText3"/>
        <w:ind w:left="720"/>
        <w:jc w:val="left"/>
        <w:rPr>
          <w:rFonts w:cs="Arial"/>
          <w:sz w:val="24"/>
        </w:rPr>
      </w:pPr>
    </w:p>
    <w:p w:rsidRPr="00DE6BD8" w:rsidR="00141A58" w:rsidP="00DE6BD8" w:rsidRDefault="00573460" w14:paraId="1A72EB1A" w14:textId="414D0F17">
      <w:pPr>
        <w:pStyle w:val="BodyText3"/>
        <w:ind w:left="720"/>
        <w:rPr>
          <w:rFonts w:cs="Arial"/>
          <w:sz w:val="24"/>
          <w:szCs w:val="24"/>
        </w:rPr>
      </w:pPr>
      <w:r w:rsidRPr="00DE6BD8">
        <w:rPr>
          <w:rFonts w:cs="Arial"/>
          <w:sz w:val="24"/>
          <w:szCs w:val="24"/>
        </w:rPr>
        <w:t>T</w:t>
      </w:r>
      <w:r w:rsidRPr="00DE6BD8" w:rsidR="00386F91">
        <w:rPr>
          <w:rFonts w:cs="Arial"/>
          <w:sz w:val="24"/>
          <w:szCs w:val="24"/>
        </w:rPr>
        <w:t xml:space="preserve">he Nottingham City and Nottinghamshire Violence Reduction </w:t>
      </w:r>
      <w:r w:rsidRPr="00DE6BD8" w:rsidR="004778C6">
        <w:rPr>
          <w:rFonts w:cs="Arial"/>
          <w:sz w:val="24"/>
          <w:szCs w:val="24"/>
        </w:rPr>
        <w:t>Partnership</w:t>
      </w:r>
      <w:r w:rsidRPr="00DE6BD8" w:rsidR="00386F91">
        <w:rPr>
          <w:rFonts w:cs="Arial"/>
          <w:sz w:val="24"/>
          <w:szCs w:val="24"/>
        </w:rPr>
        <w:t xml:space="preserve"> </w:t>
      </w:r>
      <w:r w:rsidRPr="00DE6BD8" w:rsidR="00DE6BD8">
        <w:rPr>
          <w:rFonts w:cs="Arial"/>
          <w:sz w:val="24"/>
          <w:szCs w:val="24"/>
        </w:rPr>
        <w:t>(</w:t>
      </w:r>
      <w:r w:rsidRPr="00DE6BD8" w:rsidR="00386F91">
        <w:rPr>
          <w:rFonts w:cs="Arial"/>
          <w:sz w:val="24"/>
          <w:szCs w:val="24"/>
        </w:rPr>
        <w:t>VR</w:t>
      </w:r>
      <w:r w:rsidRPr="00DE6BD8" w:rsidR="004778C6">
        <w:rPr>
          <w:rFonts w:cs="Arial"/>
          <w:sz w:val="24"/>
          <w:szCs w:val="24"/>
        </w:rPr>
        <w:t>P</w:t>
      </w:r>
      <w:r w:rsidRPr="00DE6BD8" w:rsidR="00386F91">
        <w:rPr>
          <w:rFonts w:cs="Arial"/>
          <w:sz w:val="24"/>
          <w:szCs w:val="24"/>
        </w:rPr>
        <w:t>)</w:t>
      </w:r>
      <w:r w:rsidRPr="00DE6BD8" w:rsidR="00AB6300">
        <w:rPr>
          <w:rFonts w:cs="Arial"/>
          <w:sz w:val="24"/>
          <w:szCs w:val="24"/>
        </w:rPr>
        <w:t xml:space="preserve"> is inviting quotations for </w:t>
      </w:r>
      <w:r w:rsidRPr="00DE6BD8" w:rsidR="00386F91">
        <w:rPr>
          <w:rFonts w:cs="Arial"/>
          <w:sz w:val="24"/>
          <w:szCs w:val="24"/>
        </w:rPr>
        <w:t xml:space="preserve">an </w:t>
      </w:r>
      <w:r w:rsidRPr="00DE6BD8" w:rsidR="00DE6BD8">
        <w:rPr>
          <w:rFonts w:cs="Arial"/>
          <w:sz w:val="24"/>
          <w:szCs w:val="24"/>
        </w:rPr>
        <w:t xml:space="preserve">exploratory research study to understand the high numbers of First Time Entrants into the youth justice system in Nottingham and Nottinghamshire. </w:t>
      </w:r>
      <w:r w:rsidRPr="00DE6BD8" w:rsidR="00141A58">
        <w:rPr>
          <w:rFonts w:cs="Arial"/>
          <w:sz w:val="24"/>
          <w:szCs w:val="24"/>
        </w:rPr>
        <w:t xml:space="preserve">The </w:t>
      </w:r>
      <w:r w:rsidRPr="00DE6BD8" w:rsidR="00386F91">
        <w:rPr>
          <w:rFonts w:cs="Arial"/>
          <w:sz w:val="24"/>
          <w:szCs w:val="24"/>
        </w:rPr>
        <w:t>VR</w:t>
      </w:r>
      <w:r w:rsidRPr="00DE6BD8" w:rsidR="004778C6">
        <w:rPr>
          <w:rFonts w:cs="Arial"/>
          <w:sz w:val="24"/>
          <w:szCs w:val="24"/>
        </w:rPr>
        <w:t>P</w:t>
      </w:r>
      <w:r w:rsidRPr="00DE6BD8" w:rsidR="00141A58">
        <w:rPr>
          <w:rFonts w:cs="Arial"/>
          <w:sz w:val="24"/>
          <w:szCs w:val="24"/>
        </w:rPr>
        <w:t xml:space="preserve">’s detailed requirements are defined in the Specification.  </w:t>
      </w:r>
      <w:r w:rsidRPr="00DE6BD8" w:rsidR="00141A58">
        <w:rPr>
          <w:sz w:val="24"/>
          <w:szCs w:val="24"/>
        </w:rPr>
        <w:t xml:space="preserve">The Specification provides potential </w:t>
      </w:r>
      <w:r w:rsidRPr="00DE6BD8" w:rsidR="009F495C">
        <w:rPr>
          <w:sz w:val="24"/>
          <w:szCs w:val="24"/>
        </w:rPr>
        <w:t>Tenderer</w:t>
      </w:r>
      <w:r w:rsidRPr="00DE6BD8" w:rsidR="00141A58">
        <w:rPr>
          <w:sz w:val="24"/>
          <w:szCs w:val="24"/>
        </w:rPr>
        <w:t xml:space="preserve">s with the relevant information to enable them to tender to deliver the work.  </w:t>
      </w:r>
    </w:p>
    <w:p w:rsidRPr="00DE6BD8" w:rsidR="00DE6BD8" w:rsidP="00B01D83" w:rsidRDefault="00DE6BD8" w14:paraId="736E71C3" w14:textId="6F0F4417">
      <w:pPr>
        <w:pStyle w:val="BodyText3"/>
        <w:ind w:left="720"/>
        <w:jc w:val="left"/>
        <w:rPr>
          <w:sz w:val="24"/>
          <w:szCs w:val="24"/>
        </w:rPr>
      </w:pPr>
    </w:p>
    <w:p w:rsidRPr="00DE6BD8" w:rsidR="00DE6BD8" w:rsidP="00DE6BD8" w:rsidRDefault="00DE6BD8" w14:paraId="37B4291B" w14:textId="12608518">
      <w:pPr>
        <w:pStyle w:val="BodyText3"/>
        <w:ind w:left="720"/>
        <w:jc w:val="left"/>
        <w:rPr>
          <w:rFonts w:cs="Arial"/>
          <w:i/>
          <w:sz w:val="24"/>
          <w:szCs w:val="24"/>
        </w:rPr>
      </w:pPr>
      <w:r w:rsidRPr="003F3978">
        <w:rPr>
          <w:rFonts w:cstheme="minorHAnsi"/>
          <w:sz w:val="24"/>
          <w:szCs w:val="24"/>
        </w:rPr>
        <w:t>Up to £</w:t>
      </w:r>
      <w:r w:rsidRPr="003F3978" w:rsidR="0057022A">
        <w:rPr>
          <w:rFonts w:cstheme="minorHAnsi"/>
          <w:sz w:val="24"/>
          <w:szCs w:val="24"/>
        </w:rPr>
        <w:t>2</w:t>
      </w:r>
      <w:r w:rsidRPr="003F3978">
        <w:rPr>
          <w:rFonts w:cstheme="minorHAnsi"/>
          <w:sz w:val="24"/>
          <w:szCs w:val="24"/>
        </w:rPr>
        <w:t>0,000 of funding is available.</w:t>
      </w:r>
    </w:p>
    <w:p w:rsidRPr="00A61C2C" w:rsidR="00141A58" w:rsidP="00141A58" w:rsidRDefault="00141A58" w14:paraId="45B1F78C" w14:textId="77777777">
      <w:pPr>
        <w:pStyle w:val="BodyText3"/>
        <w:jc w:val="left"/>
        <w:rPr>
          <w:rFonts w:cs="Arial"/>
          <w:sz w:val="24"/>
          <w:szCs w:val="24"/>
        </w:rPr>
      </w:pPr>
    </w:p>
    <w:p w:rsidRPr="00FE05B1" w:rsidR="00141A58" w:rsidP="00FE05B1" w:rsidRDefault="00B01D83" w14:paraId="57728B0D" w14:textId="57B9A2BE">
      <w:pPr>
        <w:pStyle w:val="ListParagraph"/>
        <w:numPr>
          <w:ilvl w:val="1"/>
          <w:numId w:val="21"/>
        </w:numPr>
        <w:rPr>
          <w:b/>
        </w:rPr>
      </w:pPr>
      <w:r w:rsidRPr="00FE05B1">
        <w:rPr>
          <w:b/>
        </w:rPr>
        <w:t>Procurement timetable</w:t>
      </w:r>
    </w:p>
    <w:p w:rsidRPr="00FE05B1" w:rsidR="00FE05B1" w:rsidP="00FE05B1" w:rsidRDefault="00FE05B1" w14:paraId="246D3EA4" w14:textId="77777777">
      <w:pPr>
        <w:rPr>
          <w:b/>
        </w:rPr>
      </w:pPr>
    </w:p>
    <w:p w:rsidR="00386F91" w:rsidP="00386F91" w:rsidRDefault="00386F91" w14:paraId="657A9349" w14:textId="77777777">
      <w:pPr>
        <w:ind w:firstLine="720"/>
        <w:rPr>
          <w:rFonts w:ascii="Arial" w:hAnsi="Arial"/>
        </w:rPr>
      </w:pPr>
      <w:r w:rsidRPr="001449A0">
        <w:rPr>
          <w:rFonts w:ascii="Arial" w:hAnsi="Arial"/>
        </w:rPr>
        <w:t>This procurement process is intended to follow the timeline below:</w:t>
      </w:r>
    </w:p>
    <w:p w:rsidRPr="00CE36E4" w:rsidR="00386F91" w:rsidP="00386F91" w:rsidRDefault="00386F91" w14:paraId="2A715507" w14:textId="77777777">
      <w:pPr>
        <w:ind w:firstLine="720"/>
        <w:rPr>
          <w:rFonts w:ascii="Arial" w:hAnsi="Arial"/>
        </w:rPr>
      </w:pPr>
    </w:p>
    <w:tbl>
      <w:tblPr>
        <w:tblW w:w="8040" w:type="dxa"/>
        <w:tblInd w:w="817" w:type="dxa"/>
        <w:tblLook w:val="0000" w:firstRow="0" w:lastRow="0" w:firstColumn="0" w:lastColumn="0" w:noHBand="0" w:noVBand="0"/>
      </w:tblPr>
      <w:tblGrid>
        <w:gridCol w:w="4678"/>
        <w:gridCol w:w="3362"/>
      </w:tblGrid>
      <w:tr w:rsidRPr="003F3978" w:rsidR="00386F91" w:rsidTr="00142FDE" w14:paraId="39AC32EA" w14:textId="77777777">
        <w:tc>
          <w:tcPr>
            <w:tcW w:w="4678" w:type="dxa"/>
          </w:tcPr>
          <w:p w:rsidRPr="003F3978" w:rsidR="00386F91" w:rsidP="00142FDE" w:rsidRDefault="00386F91" w14:paraId="58D7AA89" w14:textId="77777777">
            <w:pPr>
              <w:pStyle w:val="BodyText"/>
              <w:spacing w:after="0"/>
              <w:rPr>
                <w:rFonts w:ascii="Arial" w:hAnsi="Arial" w:cs="Arial"/>
              </w:rPr>
            </w:pPr>
            <w:r w:rsidRPr="003F3978">
              <w:rPr>
                <w:rFonts w:ascii="Arial" w:hAnsi="Arial" w:cs="Arial"/>
              </w:rPr>
              <w:t>1. Request for Proposals issued</w:t>
            </w:r>
          </w:p>
        </w:tc>
        <w:tc>
          <w:tcPr>
            <w:tcW w:w="3362" w:type="dxa"/>
          </w:tcPr>
          <w:p w:rsidRPr="003F3978" w:rsidR="00386F91" w:rsidP="00142FDE" w:rsidRDefault="00E4424C" w14:paraId="64B61E10" w14:textId="4E8A4B68">
            <w:pPr>
              <w:pStyle w:val="BodyText"/>
              <w:spacing w:after="0"/>
              <w:rPr>
                <w:rFonts w:ascii="Arial" w:hAnsi="Arial" w:cs="Arial"/>
              </w:rPr>
            </w:pPr>
            <w:r w:rsidRPr="003F3978">
              <w:rPr>
                <w:rFonts w:ascii="Arial" w:hAnsi="Arial" w:cs="Arial"/>
              </w:rPr>
              <w:t>1</w:t>
            </w:r>
            <w:r w:rsidRPr="003F3978">
              <w:rPr>
                <w:rFonts w:ascii="Arial" w:hAnsi="Arial" w:cs="Arial"/>
                <w:vertAlign w:val="superscript"/>
              </w:rPr>
              <w:t>st</w:t>
            </w:r>
            <w:r w:rsidRPr="003F3978">
              <w:rPr>
                <w:rFonts w:ascii="Arial" w:hAnsi="Arial" w:cs="Arial"/>
              </w:rPr>
              <w:t xml:space="preserve"> August</w:t>
            </w:r>
            <w:r w:rsidRPr="003F3978" w:rsidR="00CD479E">
              <w:rPr>
                <w:rFonts w:ascii="Arial" w:hAnsi="Arial" w:cs="Arial"/>
              </w:rPr>
              <w:t xml:space="preserve"> 2023</w:t>
            </w:r>
          </w:p>
        </w:tc>
      </w:tr>
      <w:tr w:rsidRPr="003F3978" w:rsidR="00386F91" w:rsidTr="00142FDE" w14:paraId="185CE3C1" w14:textId="77777777">
        <w:tc>
          <w:tcPr>
            <w:tcW w:w="4678" w:type="dxa"/>
          </w:tcPr>
          <w:p w:rsidRPr="003F3978" w:rsidR="00386F91" w:rsidP="00142FDE" w:rsidRDefault="00386F91" w14:paraId="1E2A1274" w14:textId="77777777">
            <w:pPr>
              <w:pStyle w:val="BodyText"/>
              <w:spacing w:after="0"/>
              <w:rPr>
                <w:rFonts w:ascii="Arial" w:hAnsi="Arial" w:cs="Arial"/>
              </w:rPr>
            </w:pPr>
            <w:r w:rsidRPr="003F3978">
              <w:rPr>
                <w:rFonts w:ascii="Arial" w:hAnsi="Arial" w:cs="Arial"/>
              </w:rPr>
              <w:t>2. Deadline for questions</w:t>
            </w:r>
          </w:p>
        </w:tc>
        <w:tc>
          <w:tcPr>
            <w:tcW w:w="3362" w:type="dxa"/>
          </w:tcPr>
          <w:p w:rsidRPr="003F3978" w:rsidR="00386F91" w:rsidP="00142FDE" w:rsidRDefault="00CD479E" w14:paraId="4F129EA4" w14:textId="7B00BC6B">
            <w:pPr>
              <w:rPr>
                <w:rFonts w:ascii="Arial" w:hAnsi="Arial" w:cs="Arial"/>
              </w:rPr>
            </w:pPr>
            <w:r w:rsidRPr="003F3978">
              <w:rPr>
                <w:rFonts w:ascii="Arial" w:hAnsi="Arial" w:cs="Arial"/>
              </w:rPr>
              <w:t>25</w:t>
            </w:r>
            <w:r w:rsidRPr="003F3978">
              <w:rPr>
                <w:rFonts w:ascii="Arial" w:hAnsi="Arial" w:cs="Arial"/>
                <w:vertAlign w:val="superscript"/>
              </w:rPr>
              <w:t>th</w:t>
            </w:r>
            <w:r w:rsidRPr="003F3978">
              <w:rPr>
                <w:rFonts w:ascii="Arial" w:hAnsi="Arial" w:cs="Arial"/>
              </w:rPr>
              <w:t xml:space="preserve"> September 2023</w:t>
            </w:r>
          </w:p>
        </w:tc>
      </w:tr>
      <w:tr w:rsidRPr="003F3978" w:rsidR="00386F91" w:rsidTr="00142FDE" w14:paraId="695640E4" w14:textId="77777777">
        <w:tc>
          <w:tcPr>
            <w:tcW w:w="4678" w:type="dxa"/>
          </w:tcPr>
          <w:p w:rsidRPr="003F3978" w:rsidR="00386F91" w:rsidP="00142FDE" w:rsidRDefault="00386F91" w14:paraId="3E9A255A" w14:textId="77777777">
            <w:pPr>
              <w:pStyle w:val="BodyText"/>
              <w:spacing w:after="0"/>
              <w:rPr>
                <w:rFonts w:ascii="Arial" w:hAnsi="Arial" w:cs="Arial"/>
              </w:rPr>
            </w:pPr>
            <w:r w:rsidRPr="003F3978">
              <w:rPr>
                <w:rFonts w:ascii="Arial" w:hAnsi="Arial" w:cs="Arial"/>
              </w:rPr>
              <w:t>3. Deadline for Proposal submission</w:t>
            </w:r>
          </w:p>
        </w:tc>
        <w:tc>
          <w:tcPr>
            <w:tcW w:w="3362" w:type="dxa"/>
          </w:tcPr>
          <w:p w:rsidRPr="003F3978" w:rsidR="00386F91" w:rsidP="00142FDE" w:rsidRDefault="00CD479E" w14:paraId="3A97B70D" w14:textId="7E3E0DCC">
            <w:pPr>
              <w:rPr>
                <w:rFonts w:ascii="Arial" w:hAnsi="Arial" w:cs="Arial"/>
              </w:rPr>
            </w:pPr>
            <w:r w:rsidRPr="003F3978">
              <w:rPr>
                <w:rFonts w:ascii="Arial" w:hAnsi="Arial" w:cs="Arial"/>
              </w:rPr>
              <w:t>6</w:t>
            </w:r>
            <w:r w:rsidRPr="003F3978">
              <w:rPr>
                <w:rFonts w:ascii="Arial" w:hAnsi="Arial" w:cs="Arial"/>
                <w:vertAlign w:val="superscript"/>
              </w:rPr>
              <w:t>th</w:t>
            </w:r>
            <w:r w:rsidRPr="003F3978">
              <w:rPr>
                <w:rFonts w:ascii="Arial" w:hAnsi="Arial" w:cs="Arial"/>
              </w:rPr>
              <w:t xml:space="preserve"> October 2023</w:t>
            </w:r>
          </w:p>
        </w:tc>
      </w:tr>
      <w:tr w:rsidRPr="003F3978" w:rsidR="00386F91" w:rsidTr="00142FDE" w14:paraId="62ED3F5D" w14:textId="77777777">
        <w:tc>
          <w:tcPr>
            <w:tcW w:w="4678" w:type="dxa"/>
          </w:tcPr>
          <w:p w:rsidRPr="003F3978" w:rsidR="00386F91" w:rsidP="00142FDE" w:rsidRDefault="00386F91" w14:paraId="2D045C7F" w14:textId="13AA7587">
            <w:pPr>
              <w:pStyle w:val="BodyText"/>
              <w:spacing w:after="0"/>
              <w:rPr>
                <w:rFonts w:ascii="Arial" w:hAnsi="Arial" w:cs="Arial"/>
              </w:rPr>
            </w:pPr>
            <w:r w:rsidRPr="003F3978">
              <w:rPr>
                <w:rFonts w:ascii="Arial" w:hAnsi="Arial" w:cs="Arial"/>
              </w:rPr>
              <w:t xml:space="preserve">4. Proposal evaluation </w:t>
            </w:r>
          </w:p>
        </w:tc>
        <w:tc>
          <w:tcPr>
            <w:tcW w:w="3362" w:type="dxa"/>
          </w:tcPr>
          <w:p w:rsidRPr="003F3978" w:rsidR="00386F91" w:rsidP="00142FDE" w:rsidRDefault="00E4424C" w14:paraId="1B5D3CAB" w14:textId="037A827C">
            <w:pPr>
              <w:rPr>
                <w:rFonts w:ascii="Arial" w:hAnsi="Arial" w:cs="Arial"/>
              </w:rPr>
            </w:pPr>
            <w:r w:rsidRPr="003F3978">
              <w:rPr>
                <w:rFonts w:ascii="Arial" w:hAnsi="Arial" w:cs="Arial"/>
              </w:rPr>
              <w:t>w/c 9</w:t>
            </w:r>
            <w:r w:rsidRPr="003F3978" w:rsidR="00CD479E">
              <w:rPr>
                <w:rFonts w:ascii="Arial" w:hAnsi="Arial" w:cs="Arial"/>
                <w:vertAlign w:val="superscript"/>
              </w:rPr>
              <w:t>th</w:t>
            </w:r>
            <w:r w:rsidRPr="003F3978" w:rsidR="00CD479E">
              <w:rPr>
                <w:rFonts w:ascii="Arial" w:hAnsi="Arial" w:cs="Arial"/>
              </w:rPr>
              <w:t xml:space="preserve"> October 2023</w:t>
            </w:r>
          </w:p>
        </w:tc>
      </w:tr>
      <w:tr w:rsidRPr="003F3978" w:rsidR="00386F91" w:rsidTr="00142FDE" w14:paraId="32FE3790" w14:textId="77777777">
        <w:tc>
          <w:tcPr>
            <w:tcW w:w="4678" w:type="dxa"/>
          </w:tcPr>
          <w:p w:rsidRPr="003F3978" w:rsidR="00386F91" w:rsidP="00142FDE" w:rsidRDefault="00386F91" w14:paraId="42A4CB6B" w14:textId="77777777">
            <w:pPr>
              <w:pStyle w:val="BodyText"/>
              <w:spacing w:after="0"/>
              <w:rPr>
                <w:rFonts w:ascii="Arial" w:hAnsi="Arial" w:cs="Arial"/>
              </w:rPr>
            </w:pPr>
            <w:r w:rsidRPr="003F3978">
              <w:rPr>
                <w:rFonts w:ascii="Arial" w:hAnsi="Arial" w:cs="Arial"/>
              </w:rPr>
              <w:t>5. Contract Awarded by</w:t>
            </w:r>
          </w:p>
        </w:tc>
        <w:tc>
          <w:tcPr>
            <w:tcW w:w="3362" w:type="dxa"/>
          </w:tcPr>
          <w:p w:rsidRPr="003F3978" w:rsidR="00386F91" w:rsidP="00142FDE" w:rsidRDefault="00E4424C" w14:paraId="471CB2A5" w14:textId="629AEB1D">
            <w:pPr>
              <w:rPr>
                <w:rFonts w:ascii="Arial" w:hAnsi="Arial" w:cs="Arial"/>
              </w:rPr>
            </w:pPr>
            <w:r w:rsidRPr="003F3978">
              <w:rPr>
                <w:rFonts w:ascii="Arial" w:hAnsi="Arial" w:cs="Arial"/>
              </w:rPr>
              <w:t>20</w:t>
            </w:r>
            <w:r w:rsidRPr="003F3978">
              <w:rPr>
                <w:rFonts w:ascii="Arial" w:hAnsi="Arial" w:cs="Arial"/>
                <w:vertAlign w:val="superscript"/>
              </w:rPr>
              <w:t>th</w:t>
            </w:r>
            <w:r w:rsidRPr="003F3978">
              <w:rPr>
                <w:rFonts w:ascii="Arial" w:hAnsi="Arial" w:cs="Arial"/>
              </w:rPr>
              <w:t xml:space="preserve"> </w:t>
            </w:r>
            <w:r w:rsidRPr="003F3978" w:rsidR="00CD479E">
              <w:rPr>
                <w:rFonts w:ascii="Arial" w:hAnsi="Arial" w:cs="Arial"/>
              </w:rPr>
              <w:t>October 2023</w:t>
            </w:r>
          </w:p>
        </w:tc>
      </w:tr>
      <w:tr w:rsidRPr="001449A0" w:rsidR="00386F91" w:rsidTr="00142FDE" w14:paraId="2F82AFAE" w14:textId="77777777">
        <w:trPr>
          <w:trHeight w:val="80"/>
        </w:trPr>
        <w:tc>
          <w:tcPr>
            <w:tcW w:w="4678" w:type="dxa"/>
          </w:tcPr>
          <w:p w:rsidRPr="003F3978" w:rsidR="00386F91" w:rsidP="00142FDE" w:rsidRDefault="00386F91" w14:paraId="5DA65E10" w14:textId="77777777">
            <w:pPr>
              <w:pStyle w:val="BodyText"/>
              <w:spacing w:after="0"/>
              <w:rPr>
                <w:rFonts w:ascii="Arial" w:hAnsi="Arial" w:cs="Arial"/>
              </w:rPr>
            </w:pPr>
            <w:r w:rsidRPr="003F3978">
              <w:rPr>
                <w:rFonts w:ascii="Arial" w:hAnsi="Arial" w:cs="Arial"/>
              </w:rPr>
              <w:t>6. Contract Strategy/Delivery Meeting by</w:t>
            </w:r>
          </w:p>
        </w:tc>
        <w:tc>
          <w:tcPr>
            <w:tcW w:w="3362" w:type="dxa"/>
          </w:tcPr>
          <w:p w:rsidRPr="003F3978" w:rsidR="00386F91" w:rsidP="00142FDE" w:rsidRDefault="00E4424C" w14:paraId="527361FB" w14:textId="1180B2C0">
            <w:pPr>
              <w:rPr>
                <w:rFonts w:ascii="Arial" w:hAnsi="Arial" w:cs="Arial"/>
              </w:rPr>
            </w:pPr>
            <w:r w:rsidRPr="003F3978">
              <w:rPr>
                <w:rFonts w:ascii="Arial" w:hAnsi="Arial" w:cs="Arial"/>
              </w:rPr>
              <w:t>31</w:t>
            </w:r>
            <w:r w:rsidRPr="003F3978">
              <w:rPr>
                <w:rFonts w:ascii="Arial" w:hAnsi="Arial" w:cs="Arial"/>
                <w:vertAlign w:val="superscript"/>
              </w:rPr>
              <w:t>st</w:t>
            </w:r>
            <w:r w:rsidRPr="003F3978">
              <w:rPr>
                <w:rFonts w:ascii="Arial" w:hAnsi="Arial" w:cs="Arial"/>
              </w:rPr>
              <w:t xml:space="preserve"> October</w:t>
            </w:r>
            <w:r w:rsidRPr="003F3978" w:rsidR="00CD479E">
              <w:rPr>
                <w:rFonts w:ascii="Arial" w:hAnsi="Arial" w:cs="Arial"/>
              </w:rPr>
              <w:t xml:space="preserve"> 2023</w:t>
            </w:r>
          </w:p>
        </w:tc>
      </w:tr>
    </w:tbl>
    <w:p w:rsidRPr="001449A0" w:rsidR="00386F91" w:rsidP="00386F91" w:rsidRDefault="00386F91" w14:paraId="439A635A" w14:textId="77777777">
      <w:pPr>
        <w:rPr>
          <w:rFonts w:ascii="Arial" w:hAnsi="Arial" w:cs="Arial"/>
          <w:b/>
        </w:rPr>
      </w:pPr>
    </w:p>
    <w:p w:rsidR="00386F91" w:rsidP="00386F91" w:rsidRDefault="00386F91" w14:paraId="14E255EE" w14:textId="6720E976">
      <w:pPr>
        <w:ind w:left="720"/>
        <w:rPr>
          <w:rFonts w:ascii="Arial" w:hAnsi="Arial" w:cs="Arial"/>
        </w:rPr>
      </w:pPr>
      <w:r w:rsidRPr="001449A0">
        <w:rPr>
          <w:rFonts w:ascii="Arial" w:hAnsi="Arial" w:cs="Arial"/>
        </w:rPr>
        <w:t xml:space="preserve">Please note </w:t>
      </w:r>
      <w:r>
        <w:rPr>
          <w:rFonts w:ascii="Arial" w:hAnsi="Arial" w:cs="Arial"/>
        </w:rPr>
        <w:t xml:space="preserve">that </w:t>
      </w:r>
      <w:r w:rsidRPr="001449A0">
        <w:rPr>
          <w:rFonts w:ascii="Arial" w:hAnsi="Arial" w:cs="Arial"/>
        </w:rPr>
        <w:t xml:space="preserve">the </w:t>
      </w:r>
      <w:r>
        <w:rPr>
          <w:rFonts w:ascii="Arial" w:hAnsi="Arial" w:cs="Arial"/>
        </w:rPr>
        <w:t>VR</w:t>
      </w:r>
      <w:r w:rsidR="00CD479E">
        <w:rPr>
          <w:rFonts w:ascii="Arial" w:hAnsi="Arial" w:cs="Arial"/>
        </w:rPr>
        <w:t>P</w:t>
      </w:r>
      <w:r w:rsidRPr="001449A0">
        <w:rPr>
          <w:rFonts w:ascii="Arial" w:hAnsi="Arial" w:cs="Arial"/>
        </w:rPr>
        <w:t xml:space="preserve"> reserves the right to amend this timetable and steps 4 to 6 inclusive are provided for indicative purposes only.</w:t>
      </w:r>
    </w:p>
    <w:p w:rsidRPr="001449A0" w:rsidR="00386F91" w:rsidP="00386F91" w:rsidRDefault="00386F91" w14:paraId="322909B8" w14:textId="607B2852">
      <w:pPr>
        <w:ind w:left="720"/>
        <w:rPr>
          <w:rFonts w:ascii="Arial" w:hAnsi="Arial" w:cs="Arial"/>
        </w:rPr>
      </w:pPr>
    </w:p>
    <w:p w:rsidRPr="00FE05B1" w:rsidR="00141A58" w:rsidP="00FE05B1" w:rsidRDefault="00B01D83" w14:paraId="39492285" w14:textId="53B2BCD7">
      <w:pPr>
        <w:pStyle w:val="ListParagraph"/>
        <w:numPr>
          <w:ilvl w:val="1"/>
          <w:numId w:val="21"/>
        </w:numPr>
        <w:tabs>
          <w:tab w:val="num" w:pos="709"/>
        </w:tabs>
        <w:rPr>
          <w:b/>
          <w:color w:val="000000"/>
        </w:rPr>
      </w:pPr>
      <w:r w:rsidRPr="00FE05B1">
        <w:rPr>
          <w:b/>
          <w:color w:val="000000"/>
        </w:rPr>
        <w:t>Questions</w:t>
      </w:r>
    </w:p>
    <w:p w:rsidRPr="00FE05B1" w:rsidR="00FE05B1" w:rsidP="00FE05B1" w:rsidRDefault="00FE05B1" w14:paraId="183C963E" w14:textId="77777777">
      <w:pPr>
        <w:tabs>
          <w:tab w:val="num" w:pos="709"/>
        </w:tabs>
        <w:rPr>
          <w:b/>
          <w:color w:val="000000"/>
        </w:rPr>
      </w:pPr>
    </w:p>
    <w:p w:rsidR="00141A58" w:rsidP="00386F91" w:rsidRDefault="00386F91" w14:paraId="1A1781F7" w14:textId="299CD995">
      <w:pPr>
        <w:ind w:left="720"/>
        <w:rPr>
          <w:rFonts w:ascii="Arial" w:hAnsi="Arial" w:cs="Arial"/>
          <w:color w:val="000000"/>
        </w:rPr>
      </w:pPr>
      <w:r w:rsidRPr="00CD479E">
        <w:rPr>
          <w:rFonts w:ascii="Arial" w:hAnsi="Arial" w:cs="Arial"/>
          <w:color w:val="000000"/>
        </w:rPr>
        <w:t xml:space="preserve">Any queries about this document, the procurement process, or the proposed contract itself, should be referred to </w:t>
      </w:r>
      <w:hyperlink w:history="1" r:id="rId9">
        <w:r w:rsidRPr="00CD479E" w:rsidR="00CD479E">
          <w:rPr>
            <w:rStyle w:val="Hyperlink"/>
            <w:rFonts w:ascii="Arial" w:hAnsi="Arial" w:cs="Arial"/>
          </w:rPr>
          <w:t>VRP@Notts.police.uk</w:t>
        </w:r>
      </w:hyperlink>
      <w:r w:rsidRPr="00CD479E" w:rsidR="00CD479E">
        <w:rPr>
          <w:rFonts w:ascii="Arial" w:hAnsi="Arial" w:cs="Arial"/>
          <w:color w:val="000000"/>
        </w:rPr>
        <w:t xml:space="preserve"> </w:t>
      </w:r>
      <w:r w:rsidRPr="00CD479E">
        <w:rPr>
          <w:rFonts w:ascii="Arial" w:hAnsi="Arial" w:cs="Arial"/>
          <w:color w:val="000000"/>
        </w:rPr>
        <w:t xml:space="preserve"> Please note that the </w:t>
      </w:r>
      <w:r w:rsidRPr="003F3978">
        <w:rPr>
          <w:rFonts w:ascii="Arial" w:hAnsi="Arial" w:cs="Arial"/>
          <w:color w:val="000000"/>
        </w:rPr>
        <w:t xml:space="preserve">deadline for questions is midday on </w:t>
      </w:r>
      <w:r w:rsidRPr="003F3978" w:rsidR="00CD479E">
        <w:rPr>
          <w:rFonts w:ascii="Arial" w:hAnsi="Arial" w:cs="Arial"/>
          <w:color w:val="000000"/>
        </w:rPr>
        <w:t>25</w:t>
      </w:r>
      <w:r w:rsidRPr="003F3978">
        <w:rPr>
          <w:rFonts w:ascii="Arial" w:hAnsi="Arial" w:cs="Arial"/>
          <w:color w:val="000000"/>
        </w:rPr>
        <w:t>/</w:t>
      </w:r>
      <w:r w:rsidRPr="003F3978" w:rsidR="00CD479E">
        <w:rPr>
          <w:rFonts w:ascii="Arial" w:hAnsi="Arial" w:cs="Arial"/>
          <w:color w:val="000000"/>
        </w:rPr>
        <w:t>09</w:t>
      </w:r>
      <w:r w:rsidRPr="003F3978">
        <w:rPr>
          <w:rFonts w:ascii="Arial" w:hAnsi="Arial" w:cs="Arial"/>
          <w:color w:val="000000"/>
        </w:rPr>
        <w:t>/202</w:t>
      </w:r>
      <w:r w:rsidRPr="003F3978" w:rsidR="00CD479E">
        <w:rPr>
          <w:rFonts w:ascii="Arial" w:hAnsi="Arial" w:cs="Arial"/>
          <w:color w:val="000000"/>
        </w:rPr>
        <w:t>3</w:t>
      </w:r>
      <w:r w:rsidRPr="003F3978">
        <w:rPr>
          <w:rFonts w:ascii="Arial" w:hAnsi="Arial" w:cs="Arial"/>
          <w:color w:val="000000"/>
        </w:rPr>
        <w:t xml:space="preserve"> and any responses to any</w:t>
      </w:r>
      <w:r w:rsidRPr="00CD479E">
        <w:rPr>
          <w:rFonts w:ascii="Arial" w:hAnsi="Arial" w:cs="Arial"/>
          <w:color w:val="000000"/>
        </w:rPr>
        <w:t xml:space="preserve"> clarification sought will be circulated to all bidding organisations.</w:t>
      </w:r>
    </w:p>
    <w:p w:rsidR="00386F91" w:rsidP="00141A58" w:rsidRDefault="00386F91" w14:paraId="7F2FFC54" w14:textId="0745743A">
      <w:pPr>
        <w:rPr>
          <w:rFonts w:ascii="Arial" w:hAnsi="Arial" w:cs="Arial"/>
          <w:color w:val="000000"/>
        </w:rPr>
      </w:pPr>
    </w:p>
    <w:p w:rsidRPr="00FE05B1" w:rsidR="00FE05B1" w:rsidP="00FE05B1" w:rsidRDefault="00B01D83" w14:paraId="6CD4F4AA" w14:textId="69E51CD1">
      <w:pPr>
        <w:pStyle w:val="ListParagraph"/>
        <w:numPr>
          <w:ilvl w:val="1"/>
          <w:numId w:val="21"/>
        </w:numPr>
        <w:rPr>
          <w:b/>
        </w:rPr>
      </w:pPr>
      <w:r w:rsidRPr="00FE05B1">
        <w:rPr>
          <w:b/>
        </w:rPr>
        <w:t xml:space="preserve">Submission of </w:t>
      </w:r>
      <w:r w:rsidRPr="00FE05B1" w:rsidR="00DE47CB">
        <w:rPr>
          <w:b/>
        </w:rPr>
        <w:t>Proposal</w:t>
      </w:r>
      <w:r w:rsidRPr="00FE05B1" w:rsidR="00DE47CB">
        <w:rPr>
          <w:b/>
        </w:rPr>
        <w:tab/>
      </w:r>
    </w:p>
    <w:p w:rsidRPr="00FE05B1" w:rsidR="00141A58" w:rsidP="00FE05B1" w:rsidRDefault="00DE47CB" w14:paraId="12E195A2" w14:textId="135CDE9D">
      <w:pPr>
        <w:rPr>
          <w:b/>
        </w:rPr>
      </w:pPr>
      <w:r w:rsidRPr="00FE05B1">
        <w:rPr>
          <w:b/>
        </w:rPr>
        <w:tab/>
      </w:r>
      <w:r w:rsidRPr="00FE05B1">
        <w:rPr>
          <w:b/>
        </w:rPr>
        <w:tab/>
      </w:r>
    </w:p>
    <w:p w:rsidRPr="00671617" w:rsidR="00DE6BD8" w:rsidP="00DE6BD8" w:rsidRDefault="00DE6BD8" w14:paraId="4A05E4C6" w14:textId="77777777">
      <w:pPr>
        <w:ind w:left="720"/>
        <w:rPr>
          <w:rFonts w:ascii="Arial" w:hAnsi="Arial" w:cs="Arial"/>
        </w:rPr>
      </w:pPr>
      <w:r w:rsidRPr="00671617">
        <w:rPr>
          <w:rFonts w:ascii="Arial" w:hAnsi="Arial" w:cs="Arial"/>
        </w:rPr>
        <w:t>Bidders should complete and submit</w:t>
      </w:r>
      <w:r>
        <w:rPr>
          <w:rFonts w:ascii="Arial" w:hAnsi="Arial" w:cs="Arial"/>
        </w:rPr>
        <w:t xml:space="preserve"> the following</w:t>
      </w:r>
      <w:r w:rsidRPr="00671617">
        <w:rPr>
          <w:rFonts w:ascii="Arial" w:hAnsi="Arial" w:cs="Arial"/>
        </w:rPr>
        <w:t>:</w:t>
      </w:r>
    </w:p>
    <w:p w:rsidRPr="00671617" w:rsidR="00DE6BD8" w:rsidP="00DE6BD8" w:rsidRDefault="00DE6BD8" w14:paraId="5F265220" w14:textId="77777777">
      <w:pPr>
        <w:ind w:left="720"/>
        <w:rPr>
          <w:rFonts w:ascii="Arial" w:hAnsi="Arial" w:cs="Arial"/>
        </w:rPr>
      </w:pPr>
    </w:p>
    <w:p w:rsidRPr="003D7ABB" w:rsidR="00DE6BD8" w:rsidP="00DE6BD8" w:rsidRDefault="00DE6BD8" w14:paraId="5C29906E" w14:textId="77777777">
      <w:pPr>
        <w:pStyle w:val="ListParagraph"/>
        <w:numPr>
          <w:ilvl w:val="0"/>
          <w:numId w:val="30"/>
        </w:numPr>
        <w:spacing w:before="0"/>
        <w:ind w:left="1434" w:hanging="357"/>
      </w:pPr>
      <w:r w:rsidRPr="003D7ABB">
        <w:t>Declarations Form</w:t>
      </w:r>
      <w:r>
        <w:t xml:space="preserve"> (template included)</w:t>
      </w:r>
    </w:p>
    <w:p w:rsidRPr="003D7ABB" w:rsidR="00DE6BD8" w:rsidP="00DE6BD8" w:rsidRDefault="00DE6BD8" w14:paraId="4196C100" w14:textId="77777777">
      <w:pPr>
        <w:pStyle w:val="ListParagraph"/>
        <w:numPr>
          <w:ilvl w:val="0"/>
          <w:numId w:val="30"/>
        </w:numPr>
        <w:spacing w:before="0"/>
        <w:ind w:left="1434" w:hanging="357"/>
      </w:pPr>
      <w:r w:rsidRPr="003D7ABB">
        <w:t>Response Document</w:t>
      </w:r>
      <w:r>
        <w:t xml:space="preserve"> (template included)</w:t>
      </w:r>
    </w:p>
    <w:p w:rsidRPr="003D7ABB" w:rsidR="00DE6BD8" w:rsidP="00DE6BD8" w:rsidRDefault="00DE6BD8" w14:paraId="4F76EC33" w14:textId="77777777">
      <w:pPr>
        <w:pStyle w:val="ListParagraph"/>
        <w:numPr>
          <w:ilvl w:val="0"/>
          <w:numId w:val="30"/>
        </w:numPr>
        <w:spacing w:before="0"/>
        <w:ind w:left="1434" w:hanging="357"/>
      </w:pPr>
      <w:r w:rsidRPr="003D7ABB">
        <w:t>Delivery plan in Gantt chart format</w:t>
      </w:r>
      <w:r>
        <w:t xml:space="preserve"> (no template included)</w:t>
      </w:r>
    </w:p>
    <w:p w:rsidRPr="003D7ABB" w:rsidR="00DE6BD8" w:rsidP="00DE6BD8" w:rsidRDefault="00DE6BD8" w14:paraId="20503A25" w14:textId="77777777">
      <w:pPr>
        <w:pStyle w:val="ListParagraph"/>
        <w:numPr>
          <w:ilvl w:val="0"/>
          <w:numId w:val="30"/>
        </w:numPr>
        <w:spacing w:before="0"/>
        <w:ind w:left="1434" w:hanging="357"/>
      </w:pPr>
      <w:r w:rsidRPr="003D7ABB">
        <w:t>Pricing Schedule</w:t>
      </w:r>
      <w:r>
        <w:t xml:space="preserve"> (template included)</w:t>
      </w:r>
    </w:p>
    <w:p w:rsidRPr="00671617" w:rsidR="00DE6BD8" w:rsidP="00DE6BD8" w:rsidRDefault="00DE6BD8" w14:paraId="40D35A35" w14:textId="77777777">
      <w:pPr>
        <w:ind w:left="720"/>
        <w:rPr>
          <w:rFonts w:ascii="Arial" w:hAnsi="Arial" w:cs="Arial"/>
        </w:rPr>
      </w:pPr>
    </w:p>
    <w:p w:rsidRPr="00671617" w:rsidR="00DE6BD8" w:rsidP="00DE6BD8" w:rsidRDefault="00DE6BD8" w14:paraId="07388903" w14:textId="77777777">
      <w:pPr>
        <w:ind w:left="720"/>
        <w:rPr>
          <w:rFonts w:ascii="Arial" w:hAnsi="Arial" w:cs="Arial"/>
        </w:rPr>
      </w:pPr>
      <w:r w:rsidRPr="00671617">
        <w:rPr>
          <w:rFonts w:ascii="Arial" w:hAnsi="Arial" w:cs="Arial"/>
        </w:rPr>
        <w:t xml:space="preserve">If your bid includes other individuals or </w:t>
      </w:r>
      <w:proofErr w:type="gramStart"/>
      <w:r w:rsidRPr="00671617">
        <w:rPr>
          <w:rFonts w:ascii="Arial" w:hAnsi="Arial" w:cs="Arial"/>
        </w:rPr>
        <w:t>organisations</w:t>
      </w:r>
      <w:proofErr w:type="gramEnd"/>
      <w:r w:rsidRPr="00671617">
        <w:rPr>
          <w:rFonts w:ascii="Arial" w:hAnsi="Arial" w:cs="Arial"/>
        </w:rPr>
        <w:t xml:space="preserve"> then detail should be provided of which organisations will deliver which part of the project.</w:t>
      </w:r>
    </w:p>
    <w:p w:rsidRPr="00326B59" w:rsidR="00386F91" w:rsidP="00386F91" w:rsidRDefault="00386F91" w14:paraId="053D7280" w14:textId="77777777">
      <w:pPr>
        <w:ind w:left="720"/>
        <w:rPr>
          <w:rFonts w:ascii="Arial" w:hAnsi="Arial" w:cs="Arial"/>
        </w:rPr>
      </w:pPr>
    </w:p>
    <w:p w:rsidR="00386F91" w:rsidP="00386F91" w:rsidRDefault="00386F91" w14:paraId="215E4708" w14:textId="3332DB7B">
      <w:pPr>
        <w:ind w:left="720"/>
        <w:rPr>
          <w:rFonts w:ascii="Arial" w:hAnsi="Arial" w:cs="Arial"/>
        </w:rPr>
      </w:pPr>
      <w:r w:rsidRPr="00326B59">
        <w:rPr>
          <w:rFonts w:ascii="Arial" w:hAnsi="Arial" w:cs="Arial"/>
        </w:rPr>
        <w:t>Proposals</w:t>
      </w:r>
      <w:r w:rsidR="00CD479E">
        <w:rPr>
          <w:rFonts w:ascii="Arial" w:hAnsi="Arial" w:cs="Arial"/>
        </w:rPr>
        <w:t xml:space="preserve"> </w:t>
      </w:r>
      <w:r w:rsidRPr="00326B59">
        <w:rPr>
          <w:rFonts w:ascii="Arial" w:hAnsi="Arial" w:cs="Arial"/>
        </w:rPr>
        <w:t xml:space="preserve">should be received no </w:t>
      </w:r>
      <w:r w:rsidRPr="00CD479E">
        <w:rPr>
          <w:rFonts w:ascii="Arial" w:hAnsi="Arial" w:cs="Arial"/>
        </w:rPr>
        <w:t xml:space="preserve">later than 12pm </w:t>
      </w:r>
      <w:r w:rsidRPr="003F3978">
        <w:rPr>
          <w:rFonts w:ascii="Arial" w:hAnsi="Arial" w:cs="Arial"/>
        </w:rPr>
        <w:t xml:space="preserve">on </w:t>
      </w:r>
      <w:r w:rsidRPr="003F3978" w:rsidR="00CD479E">
        <w:rPr>
          <w:rFonts w:ascii="Arial" w:hAnsi="Arial" w:cs="Arial"/>
        </w:rPr>
        <w:t>06/10/23</w:t>
      </w:r>
      <w:r w:rsidRPr="003F3978">
        <w:rPr>
          <w:rFonts w:ascii="Arial" w:hAnsi="Arial" w:cs="Arial"/>
        </w:rPr>
        <w:t xml:space="preserve"> and should be</w:t>
      </w:r>
      <w:r w:rsidRPr="00326B59">
        <w:rPr>
          <w:rFonts w:ascii="Arial" w:hAnsi="Arial" w:cs="Arial"/>
        </w:rPr>
        <w:t xml:space="preserve"> submitted by email to </w:t>
      </w:r>
      <w:hyperlink w:history="1" r:id="rId10">
        <w:r w:rsidRPr="00CD479E" w:rsidR="00CD479E">
          <w:rPr>
            <w:rStyle w:val="Hyperlink"/>
            <w:rFonts w:ascii="Arial" w:hAnsi="Arial" w:cs="Arial"/>
          </w:rPr>
          <w:t>VRP@Notts.police.uk</w:t>
        </w:r>
      </w:hyperlink>
    </w:p>
    <w:p w:rsidR="00EC6EBE" w:rsidP="00141A58" w:rsidRDefault="00EC6EBE" w14:paraId="6B1E2DBF" w14:textId="29A1BA62">
      <w:pPr>
        <w:tabs>
          <w:tab w:val="left" w:pos="426"/>
        </w:tabs>
        <w:ind w:left="426" w:hanging="426"/>
        <w:rPr>
          <w:rFonts w:ascii="Arial" w:hAnsi="Arial" w:cs="Arial"/>
        </w:rPr>
      </w:pPr>
    </w:p>
    <w:p w:rsidRPr="00B55CEB" w:rsidR="00CD479E" w:rsidP="00EC6EBE" w:rsidRDefault="00EC6EBE" w14:paraId="018BAD31" w14:textId="0559FC1A">
      <w:pPr>
        <w:spacing w:after="200" w:line="276" w:lineRule="auto"/>
        <w:rPr>
          <w:rFonts w:ascii="Arial" w:hAnsi="Arial" w:cs="Arial"/>
        </w:rPr>
      </w:pPr>
      <w:r>
        <w:rPr>
          <w:rFonts w:ascii="Arial" w:hAnsi="Arial" w:cs="Arial"/>
        </w:rPr>
        <w:br w:type="page"/>
      </w:r>
    </w:p>
    <w:p w:rsidR="00FE05B1" w:rsidP="00FE05B1" w:rsidRDefault="00B01D83" w14:paraId="51A78ACF" w14:textId="7CC93D3E">
      <w:pPr>
        <w:pStyle w:val="ListParagraph"/>
        <w:numPr>
          <w:ilvl w:val="1"/>
          <w:numId w:val="21"/>
        </w:numPr>
        <w:rPr>
          <w:b/>
          <w:bCs/>
        </w:rPr>
      </w:pPr>
      <w:r w:rsidRPr="00FE05B1">
        <w:rPr>
          <w:b/>
          <w:bCs/>
        </w:rPr>
        <w:lastRenderedPageBreak/>
        <w:t>Evaluation of quotations</w:t>
      </w:r>
    </w:p>
    <w:p w:rsidRPr="00FE05B1" w:rsidR="00FE05B1" w:rsidP="00FE05B1" w:rsidRDefault="00FE05B1" w14:paraId="4F3F7CA4" w14:textId="77777777">
      <w:pPr>
        <w:rPr>
          <w:b/>
          <w:bCs/>
        </w:rPr>
      </w:pPr>
    </w:p>
    <w:p w:rsidR="0042101D" w:rsidP="0042101D" w:rsidRDefault="0042101D" w14:paraId="66018AFB" w14:textId="15794613">
      <w:pPr>
        <w:ind w:left="709"/>
        <w:rPr>
          <w:rFonts w:ascii="Arial" w:hAnsi="Arial" w:cs="Arial"/>
          <w:bCs/>
        </w:rPr>
      </w:pPr>
      <w:r>
        <w:rPr>
          <w:rFonts w:ascii="Arial" w:hAnsi="Arial" w:cs="Arial"/>
          <w:bCs/>
        </w:rPr>
        <w:t xml:space="preserve">Based on the information provided by Tenderers, each submission will be evaluated based on a combination of experience, design, </w:t>
      </w:r>
      <w:proofErr w:type="gramStart"/>
      <w:r>
        <w:rPr>
          <w:rFonts w:ascii="Arial" w:hAnsi="Arial" w:cs="Arial"/>
          <w:bCs/>
        </w:rPr>
        <w:t>quality</w:t>
      </w:r>
      <w:proofErr w:type="gramEnd"/>
      <w:r>
        <w:rPr>
          <w:rFonts w:ascii="Arial" w:hAnsi="Arial" w:cs="Arial"/>
          <w:bCs/>
        </w:rPr>
        <w:t xml:space="preserve"> and price criteria.</w:t>
      </w:r>
    </w:p>
    <w:p w:rsidR="00386F91" w:rsidP="00386F91" w:rsidRDefault="00386F91" w14:paraId="4225EE64" w14:textId="56936369">
      <w:pPr>
        <w:pStyle w:val="Heading2"/>
      </w:pPr>
      <w:r w:rsidRPr="00987917">
        <w:t>Bids will be scored by an assess</w:t>
      </w:r>
      <w:r w:rsidR="0023107D">
        <w:t>ment panel</w:t>
      </w:r>
      <w:r w:rsidRPr="00987917">
        <w:t>, with the highest scoring bid being awarded the contract. The panel is likely to include:</w:t>
      </w:r>
    </w:p>
    <w:p w:rsidRPr="0006619F" w:rsidR="00386F91" w:rsidP="00386F91" w:rsidRDefault="00386F91" w14:paraId="443750AA" w14:textId="77777777"/>
    <w:p w:rsidRPr="0042101D" w:rsidR="00386F91" w:rsidP="00386F91" w:rsidRDefault="0023107D" w14:paraId="191E5789" w14:textId="62836FBD">
      <w:pPr>
        <w:pStyle w:val="ListParagraph"/>
        <w:numPr>
          <w:ilvl w:val="0"/>
          <w:numId w:val="12"/>
        </w:numPr>
        <w:spacing w:before="0"/>
      </w:pPr>
      <w:r w:rsidRPr="0042101D">
        <w:t>Head of VR</w:t>
      </w:r>
      <w:r w:rsidR="008E6137">
        <w:t>P</w:t>
      </w:r>
      <w:r w:rsidRPr="0042101D">
        <w:t xml:space="preserve"> or their representative</w:t>
      </w:r>
    </w:p>
    <w:p w:rsidRPr="0042101D" w:rsidR="00386F91" w:rsidP="00386F91" w:rsidRDefault="0023107D" w14:paraId="3C10EB13" w14:textId="48A84456">
      <w:pPr>
        <w:pStyle w:val="ListParagraph"/>
        <w:numPr>
          <w:ilvl w:val="0"/>
          <w:numId w:val="12"/>
        </w:numPr>
        <w:spacing w:before="0"/>
      </w:pPr>
      <w:r w:rsidRPr="0042101D">
        <w:t>VR</w:t>
      </w:r>
      <w:r w:rsidR="008E6137">
        <w:t>P</w:t>
      </w:r>
      <w:r w:rsidRPr="0042101D">
        <w:t xml:space="preserve"> Consultant in Public Health or their representative</w:t>
      </w:r>
    </w:p>
    <w:p w:rsidRPr="0042101D" w:rsidR="00386F91" w:rsidP="00386F91" w:rsidRDefault="0023107D" w14:paraId="70171C9A" w14:textId="1BBA4D6C">
      <w:pPr>
        <w:pStyle w:val="ListParagraph"/>
        <w:numPr>
          <w:ilvl w:val="0"/>
          <w:numId w:val="12"/>
        </w:numPr>
        <w:spacing w:before="0"/>
      </w:pPr>
      <w:r w:rsidRPr="0042101D">
        <w:t>OPCC Commissioning Lead</w:t>
      </w:r>
    </w:p>
    <w:p w:rsidRPr="00E0375D" w:rsidR="00386F91" w:rsidP="00386F91" w:rsidRDefault="00386F91" w14:paraId="41B144F1" w14:textId="77777777"/>
    <w:p w:rsidRPr="0042101D" w:rsidR="00386F91" w:rsidP="00386F91" w:rsidRDefault="0042101D" w14:paraId="016DA337" w14:textId="6F598783">
      <w:pPr>
        <w:ind w:left="709" w:hanging="11"/>
        <w:jc w:val="both"/>
        <w:rPr>
          <w:rFonts w:ascii="Arial" w:hAnsi="Arial" w:cs="Arial"/>
          <w:sz w:val="22"/>
          <w:szCs w:val="22"/>
        </w:rPr>
      </w:pPr>
      <w:r w:rsidRPr="0042101D">
        <w:rPr>
          <w:rFonts w:ascii="Arial" w:hAnsi="Arial" w:cs="Arial"/>
        </w:rPr>
        <w:t xml:space="preserve">Bids must meet or exceed the minimum pass mark of 3 out of 5 on all questions to be considered. </w:t>
      </w:r>
      <w:r w:rsidRPr="0042101D" w:rsidR="00386F91">
        <w:rPr>
          <w:rFonts w:ascii="Arial" w:hAnsi="Arial" w:cs="Arial"/>
        </w:rPr>
        <w:t>Each section will be scored out of 5 as follows:</w:t>
      </w:r>
    </w:p>
    <w:p w:rsidRPr="0023107D" w:rsidR="00386F91" w:rsidP="00386F91" w:rsidRDefault="00386F91" w14:paraId="661B1F9D" w14:textId="77777777">
      <w:pPr>
        <w:ind w:left="709" w:hanging="11"/>
        <w:jc w:val="both"/>
      </w:pPr>
      <w:r w:rsidRPr="0023107D">
        <w:rPr>
          <w:rFonts w:ascii="Arial" w:hAnsi="Arial" w:cs="Arial"/>
        </w:rPr>
        <w:t> </w:t>
      </w:r>
    </w:p>
    <w:tbl>
      <w:tblPr>
        <w:tblW w:w="9498" w:type="dxa"/>
        <w:tblInd w:w="108" w:type="dxa"/>
        <w:tblCellMar>
          <w:left w:w="0" w:type="dxa"/>
          <w:right w:w="0" w:type="dxa"/>
        </w:tblCellMar>
        <w:tblLook w:val="04A0" w:firstRow="1" w:lastRow="0" w:firstColumn="1" w:lastColumn="0" w:noHBand="0" w:noVBand="1"/>
      </w:tblPr>
      <w:tblGrid>
        <w:gridCol w:w="1725"/>
        <w:gridCol w:w="913"/>
        <w:gridCol w:w="6860"/>
      </w:tblGrid>
      <w:tr w:rsidRPr="0023107D" w:rsidR="00386F91" w:rsidTr="00142FDE" w14:paraId="24356D63" w14:textId="77777777">
        <w:tc>
          <w:tcPr>
            <w:tcW w:w="1725" w:type="dxa"/>
            <w:tcBorders>
              <w:top w:val="single" w:color="auto" w:sz="8" w:space="0"/>
              <w:left w:val="single" w:color="auto" w:sz="8" w:space="0"/>
              <w:bottom w:val="single" w:color="auto" w:sz="8" w:space="0"/>
              <w:right w:val="single" w:color="auto" w:sz="8" w:space="0"/>
            </w:tcBorders>
            <w:shd w:val="clear" w:color="auto" w:fill="F79646" w:themeFill="accent6"/>
            <w:tcMar>
              <w:top w:w="0" w:type="dxa"/>
              <w:left w:w="108" w:type="dxa"/>
              <w:bottom w:w="0" w:type="dxa"/>
              <w:right w:w="108" w:type="dxa"/>
            </w:tcMar>
            <w:hideMark/>
          </w:tcPr>
          <w:p w:rsidRPr="0023107D" w:rsidR="00386F91" w:rsidP="00142FDE" w:rsidRDefault="00386F91" w14:paraId="3998B170" w14:textId="77777777">
            <w:pPr>
              <w:ind w:left="34"/>
              <w:jc w:val="both"/>
            </w:pPr>
            <w:bookmarkStart w:name="_Hlk115432332" w:id="3"/>
            <w:r w:rsidRPr="0023107D">
              <w:rPr>
                <w:rFonts w:ascii="Arial" w:hAnsi="Arial" w:cs="Arial"/>
                <w:b/>
                <w:bCs/>
              </w:rPr>
              <w:t>Assessment</w:t>
            </w:r>
          </w:p>
          <w:p w:rsidRPr="0023107D" w:rsidR="00386F91" w:rsidP="00142FDE" w:rsidRDefault="00386F91" w14:paraId="31DBEE1B" w14:textId="77777777">
            <w:pPr>
              <w:ind w:left="34"/>
              <w:jc w:val="both"/>
            </w:pPr>
            <w:r w:rsidRPr="0023107D">
              <w:rPr>
                <w:rFonts w:ascii="Arial" w:hAnsi="Arial" w:cs="Arial"/>
                <w:b/>
                <w:bCs/>
              </w:rPr>
              <w:t> </w:t>
            </w:r>
          </w:p>
        </w:tc>
        <w:tc>
          <w:tcPr>
            <w:tcW w:w="907" w:type="dxa"/>
            <w:tcBorders>
              <w:top w:val="single" w:color="auto" w:sz="8" w:space="0"/>
              <w:left w:val="nil"/>
              <w:bottom w:val="single" w:color="auto" w:sz="8" w:space="0"/>
              <w:right w:val="single" w:color="auto" w:sz="8" w:space="0"/>
            </w:tcBorders>
            <w:shd w:val="clear" w:color="auto" w:fill="F79646" w:themeFill="accent6"/>
            <w:tcMar>
              <w:top w:w="0" w:type="dxa"/>
              <w:left w:w="108" w:type="dxa"/>
              <w:bottom w:w="0" w:type="dxa"/>
              <w:right w:w="108" w:type="dxa"/>
            </w:tcMar>
            <w:hideMark/>
          </w:tcPr>
          <w:p w:rsidRPr="0023107D" w:rsidR="00386F91" w:rsidP="00142FDE" w:rsidRDefault="00386F91" w14:paraId="5D4A422C" w14:textId="77777777">
            <w:pPr>
              <w:ind w:left="29"/>
              <w:jc w:val="both"/>
            </w:pPr>
            <w:r w:rsidRPr="0023107D">
              <w:rPr>
                <w:rFonts w:ascii="Arial" w:hAnsi="Arial" w:cs="Arial"/>
                <w:b/>
                <w:bCs/>
              </w:rPr>
              <w:t>Score</w:t>
            </w:r>
          </w:p>
        </w:tc>
        <w:tc>
          <w:tcPr>
            <w:tcW w:w="6866" w:type="dxa"/>
            <w:tcBorders>
              <w:top w:val="single" w:color="auto" w:sz="8" w:space="0"/>
              <w:left w:val="nil"/>
              <w:bottom w:val="single" w:color="auto" w:sz="8" w:space="0"/>
              <w:right w:val="single" w:color="auto" w:sz="8" w:space="0"/>
            </w:tcBorders>
            <w:shd w:val="clear" w:color="auto" w:fill="F79646" w:themeFill="accent6"/>
            <w:tcMar>
              <w:top w:w="0" w:type="dxa"/>
              <w:left w:w="108" w:type="dxa"/>
              <w:bottom w:w="0" w:type="dxa"/>
              <w:right w:w="108" w:type="dxa"/>
            </w:tcMar>
            <w:hideMark/>
          </w:tcPr>
          <w:p w:rsidRPr="0023107D" w:rsidR="00386F91" w:rsidP="00142FDE" w:rsidRDefault="00386F91" w14:paraId="04D96CF4" w14:textId="77777777">
            <w:pPr>
              <w:ind w:left="107"/>
              <w:jc w:val="both"/>
            </w:pPr>
            <w:r w:rsidRPr="0023107D">
              <w:rPr>
                <w:rFonts w:ascii="Arial" w:hAnsi="Arial" w:cs="Arial"/>
                <w:b/>
                <w:bCs/>
              </w:rPr>
              <w:t>Interpretation</w:t>
            </w:r>
          </w:p>
        </w:tc>
      </w:tr>
      <w:tr w:rsidRPr="0023107D" w:rsidR="00386F91" w:rsidTr="00142FDE" w14:paraId="203BA6F1"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30B230E7" w14:textId="77777777">
            <w:pPr>
              <w:ind w:left="34"/>
              <w:jc w:val="both"/>
            </w:pPr>
            <w:r w:rsidRPr="0023107D">
              <w:rPr>
                <w:rFonts w:ascii="Arial" w:hAnsi="Arial" w:cs="Arial"/>
              </w:rPr>
              <w:t>Excellent</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3F0AE1C3" w14:textId="77777777">
            <w:pPr>
              <w:ind w:left="29"/>
              <w:jc w:val="both"/>
            </w:pPr>
            <w:r w:rsidRPr="0023107D">
              <w:rPr>
                <w:rFonts w:ascii="Arial" w:hAnsi="Arial" w:cs="Arial"/>
              </w:rPr>
              <w:t xml:space="preserve">5 </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1F83D97F" w14:textId="77777777">
            <w:pPr>
              <w:ind w:left="107"/>
              <w:jc w:val="both"/>
            </w:pPr>
            <w:r w:rsidRPr="0023107D">
              <w:rPr>
                <w:rFonts w:ascii="Arial" w:hAnsi="Arial" w:cs="Arial"/>
              </w:rPr>
              <w:t>Exceeds the requirement.  Exceptional demonstration by in the Bid of the understanding and skills required to provide the services. Response identifies factors that will offer potential added value, with evidence to support the response.</w:t>
            </w:r>
          </w:p>
        </w:tc>
      </w:tr>
      <w:tr w:rsidRPr="0023107D" w:rsidR="00386F91" w:rsidTr="00142FDE" w14:paraId="6179C436"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2B80422B" w14:textId="77777777">
            <w:pPr>
              <w:ind w:left="34"/>
              <w:jc w:val="both"/>
            </w:pPr>
            <w:r w:rsidRPr="0023107D">
              <w:rPr>
                <w:rFonts w:ascii="Arial" w:hAnsi="Arial" w:cs="Arial"/>
              </w:rPr>
              <w:t>Good</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7277448F" w14:textId="77777777">
            <w:pPr>
              <w:ind w:left="29"/>
              <w:jc w:val="both"/>
            </w:pPr>
            <w:r w:rsidRPr="0023107D">
              <w:rPr>
                <w:rFonts w:ascii="Arial" w:hAnsi="Arial" w:cs="Arial"/>
              </w:rPr>
              <w:t>4</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648E1317" w14:textId="77777777">
            <w:pPr>
              <w:ind w:left="107"/>
              <w:jc w:val="both"/>
            </w:pPr>
            <w:r w:rsidRPr="0023107D">
              <w:rPr>
                <w:rFonts w:ascii="Arial" w:hAnsi="Arial" w:cs="Arial"/>
              </w:rPr>
              <w:t>Satisfies the requirement with minor additional benefits.</w:t>
            </w:r>
          </w:p>
          <w:p w:rsidRPr="0023107D" w:rsidR="00386F91" w:rsidP="00142FDE" w:rsidRDefault="00386F91" w14:paraId="397F3DFC" w14:textId="77777777">
            <w:pPr>
              <w:ind w:left="107"/>
              <w:jc w:val="both"/>
            </w:pPr>
            <w:r w:rsidRPr="0023107D">
              <w:rPr>
                <w:rFonts w:ascii="Arial" w:hAnsi="Arial" w:cs="Arial"/>
              </w:rPr>
              <w:t>Above average demonstration in the Bid of the understanding and skills required to provide the services. Response identifies factors that will offer potential added value, with evidence to support the response.</w:t>
            </w:r>
          </w:p>
        </w:tc>
      </w:tr>
      <w:tr w:rsidRPr="0023107D" w:rsidR="00386F91" w:rsidTr="00142FDE" w14:paraId="3938B4D2"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17693964" w14:textId="77777777">
            <w:pPr>
              <w:ind w:left="34"/>
              <w:jc w:val="both"/>
            </w:pPr>
            <w:r w:rsidRPr="0023107D">
              <w:rPr>
                <w:rFonts w:ascii="Arial" w:hAnsi="Arial" w:cs="Arial"/>
              </w:rPr>
              <w:t>Acceptable</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3ACB68C7" w14:textId="77777777">
            <w:pPr>
              <w:ind w:left="29"/>
              <w:jc w:val="both"/>
            </w:pPr>
            <w:r w:rsidRPr="0023107D">
              <w:rPr>
                <w:rFonts w:ascii="Arial" w:hAnsi="Arial" w:cs="Arial"/>
              </w:rPr>
              <w:t>3</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287F5DA8" w14:textId="77777777">
            <w:pPr>
              <w:ind w:left="107"/>
              <w:jc w:val="both"/>
            </w:pPr>
            <w:r w:rsidRPr="0023107D">
              <w:rPr>
                <w:rFonts w:ascii="Arial" w:hAnsi="Arial" w:cs="Arial"/>
              </w:rPr>
              <w:t>Satisfies the requirement.  Demonstration in the Bid of the understanding and skills required to provide the services, with evidence to support the response.</w:t>
            </w:r>
          </w:p>
        </w:tc>
      </w:tr>
      <w:tr w:rsidRPr="0023107D" w:rsidR="00386F91" w:rsidTr="00142FDE" w14:paraId="2DE9088D"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4F7DBE5F" w14:textId="77777777">
            <w:pPr>
              <w:ind w:left="34"/>
              <w:jc w:val="both"/>
            </w:pPr>
            <w:r w:rsidRPr="0023107D">
              <w:rPr>
                <w:rFonts w:ascii="Arial" w:hAnsi="Arial" w:cs="Arial"/>
              </w:rPr>
              <w:t>Minor Reservations</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25FD1370" w14:textId="77777777">
            <w:pPr>
              <w:ind w:left="29"/>
              <w:jc w:val="both"/>
            </w:pPr>
            <w:r w:rsidRPr="0023107D">
              <w:rPr>
                <w:rFonts w:ascii="Arial" w:hAnsi="Arial" w:cs="Arial"/>
              </w:rPr>
              <w:t>2</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78DF69C1" w14:textId="77777777">
            <w:pPr>
              <w:ind w:left="107"/>
              <w:jc w:val="both"/>
            </w:pPr>
            <w:r w:rsidRPr="0023107D">
              <w:rPr>
                <w:rFonts w:ascii="Arial" w:hAnsi="Arial" w:cs="Arial"/>
              </w:rPr>
              <w:t>Minor reservations. Some minor reservations of the Bidder's understanding and skills required to provide the services, with little or no evidence to support the response.</w:t>
            </w:r>
          </w:p>
        </w:tc>
      </w:tr>
      <w:tr w:rsidRPr="0023107D" w:rsidR="00386F91" w:rsidTr="00142FDE" w14:paraId="4B493B0F"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5FF9D161" w14:textId="77777777">
            <w:pPr>
              <w:ind w:left="34"/>
              <w:jc w:val="both"/>
            </w:pPr>
            <w:r w:rsidRPr="0023107D">
              <w:rPr>
                <w:rFonts w:ascii="Arial" w:hAnsi="Arial" w:cs="Arial"/>
              </w:rPr>
              <w:t>Serious Reservations</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0DE24D02" w14:textId="77777777">
            <w:pPr>
              <w:ind w:left="29"/>
              <w:jc w:val="both"/>
            </w:pPr>
            <w:r w:rsidRPr="0023107D">
              <w:rPr>
                <w:rFonts w:ascii="Arial" w:hAnsi="Arial" w:cs="Arial"/>
              </w:rPr>
              <w:t>1</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3DB1063E" w14:textId="77777777">
            <w:pPr>
              <w:ind w:left="107"/>
              <w:jc w:val="both"/>
            </w:pPr>
            <w:r w:rsidRPr="0023107D">
              <w:rPr>
                <w:rFonts w:ascii="Arial" w:hAnsi="Arial" w:cs="Arial"/>
              </w:rPr>
              <w:t>Major reservations. Considerable reservations of the Bidder’s understanding and skills required to provide the services, with little or no evidence to support the response.</w:t>
            </w:r>
          </w:p>
        </w:tc>
      </w:tr>
      <w:tr w:rsidR="00386F91" w:rsidTr="00142FDE" w14:paraId="3C0E53DE" w14:textId="77777777">
        <w:tc>
          <w:tcPr>
            <w:tcW w:w="17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536B93AD" w14:textId="77777777">
            <w:pPr>
              <w:ind w:left="34"/>
              <w:jc w:val="both"/>
            </w:pPr>
            <w:r w:rsidRPr="0023107D">
              <w:rPr>
                <w:rFonts w:ascii="Arial" w:hAnsi="Arial" w:cs="Arial"/>
              </w:rPr>
              <w:t>Unacceptable</w:t>
            </w:r>
          </w:p>
        </w:tc>
        <w:tc>
          <w:tcPr>
            <w:tcW w:w="907" w:type="dxa"/>
            <w:tcBorders>
              <w:top w:val="nil"/>
              <w:left w:val="nil"/>
              <w:bottom w:val="single" w:color="auto" w:sz="8" w:space="0"/>
              <w:right w:val="single" w:color="auto" w:sz="8" w:space="0"/>
            </w:tcBorders>
            <w:tcMar>
              <w:top w:w="0" w:type="dxa"/>
              <w:left w:w="108" w:type="dxa"/>
              <w:bottom w:w="0" w:type="dxa"/>
              <w:right w:w="108" w:type="dxa"/>
            </w:tcMar>
            <w:hideMark/>
          </w:tcPr>
          <w:p w:rsidRPr="0023107D" w:rsidR="00386F91" w:rsidP="00142FDE" w:rsidRDefault="00386F91" w14:paraId="610D3CE5" w14:textId="77777777">
            <w:pPr>
              <w:ind w:left="29"/>
              <w:jc w:val="both"/>
            </w:pPr>
            <w:r w:rsidRPr="0023107D">
              <w:rPr>
                <w:rFonts w:ascii="Arial" w:hAnsi="Arial" w:cs="Arial"/>
              </w:rPr>
              <w:t>0</w:t>
            </w:r>
          </w:p>
        </w:tc>
        <w:tc>
          <w:tcPr>
            <w:tcW w:w="6866" w:type="dxa"/>
            <w:tcBorders>
              <w:top w:val="nil"/>
              <w:left w:val="nil"/>
              <w:bottom w:val="single" w:color="auto" w:sz="8" w:space="0"/>
              <w:right w:val="single" w:color="auto" w:sz="8" w:space="0"/>
            </w:tcBorders>
            <w:tcMar>
              <w:top w:w="0" w:type="dxa"/>
              <w:left w:w="108" w:type="dxa"/>
              <w:bottom w:w="0" w:type="dxa"/>
              <w:right w:w="108" w:type="dxa"/>
            </w:tcMar>
            <w:hideMark/>
          </w:tcPr>
          <w:p w:rsidR="00386F91" w:rsidP="00142FDE" w:rsidRDefault="00386F91" w14:paraId="53E6105B" w14:textId="77777777">
            <w:pPr>
              <w:ind w:left="107"/>
              <w:jc w:val="both"/>
            </w:pPr>
            <w:r w:rsidRPr="0023107D">
              <w:rPr>
                <w:rFonts w:ascii="Arial" w:hAnsi="Arial" w:cs="Arial"/>
              </w:rPr>
              <w:t>Does not meet the requirement. Does not comply and/or insufficient information provided to demonstrate that the Bidder has the understanding and skills required to provide the services, with little or no evidence to support the response.</w:t>
            </w:r>
          </w:p>
        </w:tc>
      </w:tr>
      <w:bookmarkEnd w:id="3"/>
    </w:tbl>
    <w:p w:rsidR="00386F91" w:rsidP="00386F91" w:rsidRDefault="00386F91" w14:paraId="0CB43934" w14:textId="77777777">
      <w:pPr>
        <w:jc w:val="both"/>
        <w:rPr>
          <w:rFonts w:ascii="Arial" w:hAnsi="Arial" w:cs="Arial"/>
        </w:rPr>
      </w:pPr>
    </w:p>
    <w:p w:rsidR="00386F91" w:rsidP="00386F91" w:rsidRDefault="00386F91" w14:paraId="6E8F3C1A" w14:textId="16F841F5">
      <w:pPr>
        <w:ind w:left="709"/>
        <w:rPr>
          <w:rFonts w:ascii="Arial" w:hAnsi="Arial" w:cs="Arial"/>
          <w:bCs/>
        </w:rPr>
      </w:pPr>
      <w:r>
        <w:rPr>
          <w:rFonts w:ascii="Arial" w:hAnsi="Arial" w:cs="Arial"/>
          <w:bCs/>
        </w:rPr>
        <w:t>Mandatory requirements</w:t>
      </w:r>
      <w:r w:rsidR="0023107D">
        <w:rPr>
          <w:rFonts w:ascii="Arial" w:hAnsi="Arial" w:cs="Arial"/>
          <w:bCs/>
        </w:rPr>
        <w:t xml:space="preserve">, outlined in </w:t>
      </w:r>
      <w:r w:rsidR="00564233">
        <w:rPr>
          <w:rFonts w:ascii="Arial" w:hAnsi="Arial" w:cs="Arial"/>
          <w:bCs/>
        </w:rPr>
        <w:t xml:space="preserve">‘Section 7 </w:t>
      </w:r>
      <w:r w:rsidR="0023107D">
        <w:rPr>
          <w:rFonts w:ascii="Arial" w:hAnsi="Arial" w:cs="Arial"/>
          <w:bCs/>
        </w:rPr>
        <w:t xml:space="preserve">Other Requirements’ </w:t>
      </w:r>
      <w:r>
        <w:rPr>
          <w:rFonts w:ascii="Arial" w:hAnsi="Arial" w:cs="Arial"/>
          <w:bCs/>
        </w:rPr>
        <w:t xml:space="preserve">must be met for proposals to be considered. </w:t>
      </w:r>
      <w:r w:rsidRPr="001449A0">
        <w:rPr>
          <w:rFonts w:ascii="Arial" w:hAnsi="Arial" w:cs="Arial"/>
          <w:bCs/>
        </w:rPr>
        <w:t xml:space="preserve">As part of the evaluation process, the </w:t>
      </w:r>
      <w:r>
        <w:rPr>
          <w:rFonts w:ascii="Arial" w:hAnsi="Arial" w:cs="Arial"/>
          <w:bCs/>
        </w:rPr>
        <w:t>VR</w:t>
      </w:r>
      <w:r w:rsidR="00CD479E">
        <w:rPr>
          <w:rFonts w:ascii="Arial" w:hAnsi="Arial" w:cs="Arial"/>
          <w:bCs/>
        </w:rPr>
        <w:t>P</w:t>
      </w:r>
      <w:r w:rsidRPr="001449A0">
        <w:rPr>
          <w:rFonts w:ascii="Arial" w:hAnsi="Arial" w:cs="Arial"/>
          <w:bCs/>
        </w:rPr>
        <w:t xml:space="preserve"> may check your organisation’s financial stability. If your Experian score is less than 50 your organisation will be eliminated from the procurement process.</w:t>
      </w:r>
    </w:p>
    <w:p w:rsidR="00386F91" w:rsidP="00386F91" w:rsidRDefault="00386F91" w14:paraId="0801A2F7" w14:textId="682926F2">
      <w:pPr>
        <w:ind w:left="709"/>
        <w:rPr>
          <w:rFonts w:ascii="Arial" w:hAnsi="Arial" w:cs="Arial"/>
          <w:bCs/>
        </w:rPr>
      </w:pPr>
    </w:p>
    <w:p w:rsidRPr="00671617" w:rsidR="00EC6EBE" w:rsidP="00EC6EBE" w:rsidRDefault="00EC6EBE" w14:paraId="3935857B" w14:textId="77777777">
      <w:pPr>
        <w:ind w:left="709"/>
        <w:rPr>
          <w:rFonts w:ascii="Arial" w:hAnsi="Arial" w:cs="Arial"/>
          <w:b/>
          <w:bCs/>
        </w:rPr>
      </w:pPr>
      <w:r w:rsidRPr="00671617">
        <w:rPr>
          <w:rFonts w:ascii="Arial" w:hAnsi="Arial" w:cs="Arial"/>
          <w:bCs/>
        </w:rPr>
        <w:t xml:space="preserve">Each submission will be evaluated based on the following combination of experience, </w:t>
      </w:r>
      <w:proofErr w:type="gramStart"/>
      <w:r w:rsidRPr="00671617">
        <w:rPr>
          <w:rFonts w:ascii="Arial" w:hAnsi="Arial" w:cs="Arial"/>
          <w:bCs/>
        </w:rPr>
        <w:t>quality</w:t>
      </w:r>
      <w:proofErr w:type="gramEnd"/>
      <w:r w:rsidRPr="00671617">
        <w:rPr>
          <w:rFonts w:ascii="Arial" w:hAnsi="Arial" w:cs="Arial"/>
          <w:bCs/>
        </w:rPr>
        <w:t xml:space="preserve"> and price criteria. The award criteria are designed to allow the selection of the Bid that represents the most economically advantageous tender, rather than lowest price alone. </w:t>
      </w:r>
    </w:p>
    <w:p w:rsidR="00EC6EBE" w:rsidP="00386F91" w:rsidRDefault="00EC6EBE" w14:paraId="0DC7F6E9" w14:textId="4B580D81">
      <w:pPr>
        <w:ind w:left="709"/>
        <w:rPr>
          <w:rFonts w:ascii="Arial" w:hAnsi="Arial" w:cs="Arial"/>
          <w:bCs/>
        </w:rPr>
      </w:pPr>
    </w:p>
    <w:p w:rsidR="00EC6EBE" w:rsidP="00386F91" w:rsidRDefault="00EC6EBE" w14:paraId="0C0AE4EF" w14:textId="18FD5ADA">
      <w:pPr>
        <w:ind w:left="709"/>
        <w:rPr>
          <w:rFonts w:ascii="Arial" w:hAnsi="Arial" w:cs="Arial"/>
          <w:bCs/>
        </w:rPr>
      </w:pPr>
    </w:p>
    <w:p w:rsidR="00EC6EBE" w:rsidP="00EC6EBE" w:rsidRDefault="00EC6EBE" w14:paraId="3B805270" w14:textId="77777777">
      <w:pPr>
        <w:rPr>
          <w:rFonts w:ascii="Arial" w:hAnsi="Arial" w:cs="Arial"/>
          <w:bCs/>
        </w:rPr>
      </w:pPr>
    </w:p>
    <w:p w:rsidR="00386F91" w:rsidP="00B712C2" w:rsidRDefault="0023107D" w14:paraId="41D59866" w14:textId="0606F928">
      <w:pPr>
        <w:spacing w:after="200" w:line="276" w:lineRule="auto"/>
        <w:rPr>
          <w:rFonts w:ascii="Arial" w:hAnsi="Arial" w:cs="Arial"/>
          <w:bCs/>
        </w:rPr>
      </w:pPr>
      <w:r>
        <w:rPr>
          <w:rFonts w:ascii="Arial" w:hAnsi="Arial" w:cs="Arial"/>
          <w:bCs/>
        </w:rPr>
        <w:lastRenderedPageBreak/>
        <w:t xml:space="preserve">The </w:t>
      </w:r>
      <w:r w:rsidR="0042101D">
        <w:rPr>
          <w:rFonts w:ascii="Arial" w:hAnsi="Arial" w:cs="Arial"/>
          <w:bCs/>
        </w:rPr>
        <w:t>assessment</w:t>
      </w:r>
      <w:r>
        <w:rPr>
          <w:rFonts w:ascii="Arial" w:hAnsi="Arial" w:cs="Arial"/>
          <w:bCs/>
        </w:rPr>
        <w:t xml:space="preserve"> criteria </w:t>
      </w:r>
      <w:r w:rsidR="0042101D">
        <w:rPr>
          <w:rFonts w:ascii="Arial" w:hAnsi="Arial" w:cs="Arial"/>
          <w:bCs/>
        </w:rPr>
        <w:t xml:space="preserve">for evaluation </w:t>
      </w:r>
      <w:r>
        <w:rPr>
          <w:rFonts w:ascii="Arial" w:hAnsi="Arial" w:cs="Arial"/>
          <w:bCs/>
        </w:rPr>
        <w:t>are:</w:t>
      </w:r>
    </w:p>
    <w:tbl>
      <w:tblPr>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307"/>
        <w:gridCol w:w="1713"/>
        <w:gridCol w:w="761"/>
      </w:tblGrid>
      <w:tr w:rsidRPr="003D7ABB" w:rsidR="00EC6EBE" w:rsidTr="00C227B6" w14:paraId="1BA76716" w14:textId="77777777">
        <w:trPr>
          <w:trHeight w:val="263"/>
        </w:trPr>
        <w:tc>
          <w:tcPr>
            <w:tcW w:w="7372" w:type="dxa"/>
            <w:shd w:val="clear" w:color="auto" w:fill="F79646" w:themeFill="accent6"/>
            <w:tcMar>
              <w:top w:w="0" w:type="dxa"/>
              <w:left w:w="108" w:type="dxa"/>
              <w:bottom w:w="0" w:type="dxa"/>
              <w:right w:w="108" w:type="dxa"/>
            </w:tcMar>
          </w:tcPr>
          <w:p w:rsidRPr="003D7ABB" w:rsidR="00EC6EBE" w:rsidP="00EC0F4F" w:rsidRDefault="00EC6EBE" w14:paraId="5A38B5D7" w14:textId="77777777">
            <w:pPr>
              <w:ind w:left="567" w:hanging="567"/>
              <w:rPr>
                <w:rFonts w:ascii="Arial" w:hAnsi="Arial" w:cs="Arial"/>
                <w:b/>
                <w:bCs/>
                <w:sz w:val="22"/>
                <w:szCs w:val="22"/>
              </w:rPr>
            </w:pPr>
          </w:p>
        </w:tc>
        <w:tc>
          <w:tcPr>
            <w:tcW w:w="1713" w:type="dxa"/>
            <w:shd w:val="clear" w:color="auto" w:fill="F79646" w:themeFill="accent6"/>
            <w:tcMar>
              <w:top w:w="0" w:type="dxa"/>
              <w:left w:w="108" w:type="dxa"/>
              <w:bottom w:w="0" w:type="dxa"/>
              <w:right w:w="108" w:type="dxa"/>
            </w:tcMar>
            <w:hideMark/>
          </w:tcPr>
          <w:p w:rsidRPr="003D7ABB" w:rsidR="00EC6EBE" w:rsidP="00EC0F4F" w:rsidRDefault="00EC6EBE" w14:paraId="4CA4EE38" w14:textId="77777777">
            <w:pPr>
              <w:ind w:left="567" w:hanging="567"/>
              <w:jc w:val="right"/>
              <w:rPr>
                <w:rFonts w:ascii="Arial" w:hAnsi="Arial" w:cs="Arial"/>
                <w:b/>
                <w:bCs/>
                <w:sz w:val="22"/>
                <w:szCs w:val="22"/>
              </w:rPr>
            </w:pPr>
            <w:r w:rsidRPr="003D7ABB">
              <w:rPr>
                <w:rFonts w:ascii="Arial" w:hAnsi="Arial" w:cs="Arial"/>
                <w:b/>
                <w:bCs/>
                <w:sz w:val="22"/>
                <w:szCs w:val="22"/>
              </w:rPr>
              <w:t>Score available</w:t>
            </w:r>
          </w:p>
        </w:tc>
        <w:tc>
          <w:tcPr>
            <w:tcW w:w="696" w:type="dxa"/>
            <w:shd w:val="clear" w:color="auto" w:fill="F79646" w:themeFill="accent6"/>
            <w:tcMar>
              <w:top w:w="0" w:type="dxa"/>
              <w:left w:w="108" w:type="dxa"/>
              <w:bottom w:w="0" w:type="dxa"/>
              <w:right w:w="108" w:type="dxa"/>
            </w:tcMar>
            <w:hideMark/>
          </w:tcPr>
          <w:p w:rsidRPr="003D7ABB" w:rsidR="00EC6EBE" w:rsidP="00EC0F4F" w:rsidRDefault="00EC6EBE" w14:paraId="6E53B082" w14:textId="77777777">
            <w:pPr>
              <w:ind w:left="567" w:hanging="567"/>
              <w:jc w:val="right"/>
              <w:rPr>
                <w:rFonts w:ascii="Arial" w:hAnsi="Arial" w:cs="Arial"/>
                <w:b/>
                <w:bCs/>
                <w:sz w:val="22"/>
                <w:szCs w:val="22"/>
              </w:rPr>
            </w:pPr>
            <w:r w:rsidRPr="003D7ABB">
              <w:rPr>
                <w:rFonts w:ascii="Arial" w:hAnsi="Arial" w:cs="Arial"/>
                <w:b/>
                <w:bCs/>
                <w:sz w:val="22"/>
                <w:szCs w:val="22"/>
              </w:rPr>
              <w:t>%</w:t>
            </w:r>
          </w:p>
        </w:tc>
      </w:tr>
      <w:tr w:rsidRPr="00343229" w:rsidR="00EC6EBE" w:rsidTr="00C227B6" w14:paraId="0F0682E2" w14:textId="77777777">
        <w:trPr>
          <w:trHeight w:val="128"/>
        </w:trPr>
        <w:tc>
          <w:tcPr>
            <w:tcW w:w="9781" w:type="dxa"/>
            <w:gridSpan w:val="3"/>
            <w:shd w:val="clear" w:color="auto" w:fill="F79646" w:themeFill="accent6"/>
            <w:tcMar>
              <w:top w:w="0" w:type="dxa"/>
              <w:left w:w="108" w:type="dxa"/>
              <w:bottom w:w="0" w:type="dxa"/>
              <w:right w:w="108" w:type="dxa"/>
            </w:tcMar>
          </w:tcPr>
          <w:p w:rsidRPr="00DD01C5" w:rsidR="00EC6EBE" w:rsidP="00EC0F4F" w:rsidRDefault="00EC6EBE" w14:paraId="002A7436" w14:textId="77777777">
            <w:pPr>
              <w:ind w:left="177"/>
              <w:rPr>
                <w:rFonts w:ascii="Arial" w:hAnsi="Arial" w:cs="Arial"/>
                <w:b/>
                <w:bCs/>
                <w:sz w:val="22"/>
                <w:szCs w:val="22"/>
              </w:rPr>
            </w:pPr>
            <w:r w:rsidRPr="00DD01C5">
              <w:rPr>
                <w:rFonts w:ascii="Arial" w:hAnsi="Arial" w:cs="Arial"/>
                <w:b/>
                <w:bCs/>
                <w:sz w:val="22"/>
                <w:szCs w:val="22"/>
              </w:rPr>
              <w:t>Experience / Understanding</w:t>
            </w:r>
          </w:p>
          <w:p w:rsidRPr="00DD01C5" w:rsidR="00EC6EBE" w:rsidP="00EC0F4F" w:rsidRDefault="00EC6EBE" w14:paraId="77B8FE73" w14:textId="77777777">
            <w:pPr>
              <w:ind w:left="177"/>
              <w:rPr>
                <w:rFonts w:ascii="Arial" w:hAnsi="Arial" w:cs="Arial"/>
                <w:b/>
                <w:bCs/>
                <w:sz w:val="22"/>
                <w:szCs w:val="22"/>
              </w:rPr>
            </w:pPr>
          </w:p>
        </w:tc>
      </w:tr>
      <w:tr w:rsidRPr="00343229" w:rsidR="00EC6EBE" w:rsidTr="00C227B6" w14:paraId="7F8862C1" w14:textId="77777777">
        <w:trPr>
          <w:trHeight w:val="4104"/>
        </w:trPr>
        <w:tc>
          <w:tcPr>
            <w:tcW w:w="7372" w:type="dxa"/>
            <w:tcMar>
              <w:top w:w="0" w:type="dxa"/>
              <w:left w:w="108" w:type="dxa"/>
              <w:bottom w:w="0" w:type="dxa"/>
              <w:right w:w="108" w:type="dxa"/>
            </w:tcMar>
            <w:hideMark/>
          </w:tcPr>
          <w:p w:rsidRPr="007A3053" w:rsidR="00EC6EBE" w:rsidP="00EC0F4F" w:rsidRDefault="00EC6EBE" w14:paraId="07D7D8C5" w14:textId="77777777">
            <w:pPr>
              <w:ind w:left="178"/>
              <w:rPr>
                <w:rFonts w:ascii="Arial" w:hAnsi="Arial" w:cs="Arial"/>
              </w:rPr>
            </w:pPr>
            <w:r w:rsidRPr="007A3053">
              <w:rPr>
                <w:rFonts w:ascii="Arial" w:hAnsi="Arial" w:cs="Arial"/>
              </w:rPr>
              <w:t>Experience of</w:t>
            </w:r>
            <w:r>
              <w:rPr>
                <w:rFonts w:ascii="Arial" w:hAnsi="Arial" w:cs="Arial"/>
              </w:rPr>
              <w:t xml:space="preserve"> the proposed researcher/s, to include s</w:t>
            </w:r>
            <w:r w:rsidRPr="007A3053">
              <w:rPr>
                <w:rFonts w:ascii="Arial" w:hAnsi="Arial" w:cs="Arial"/>
              </w:rPr>
              <w:t xml:space="preserve">kills and experience of colleagues, including </w:t>
            </w:r>
            <w:r>
              <w:rPr>
                <w:rFonts w:ascii="Arial" w:hAnsi="Arial" w:cs="Arial"/>
              </w:rPr>
              <w:t>reference to</w:t>
            </w:r>
            <w:r w:rsidRPr="007A3053">
              <w:rPr>
                <w:rFonts w:ascii="Arial" w:hAnsi="Arial" w:cs="Arial"/>
              </w:rPr>
              <w:t>:</w:t>
            </w:r>
          </w:p>
          <w:p w:rsidRPr="000754C6" w:rsidR="000754C6" w:rsidP="000754C6" w:rsidRDefault="000754C6" w14:paraId="0DA97EDF" w14:textId="77777777">
            <w:pPr>
              <w:pStyle w:val="ListParagraph"/>
              <w:numPr>
                <w:ilvl w:val="0"/>
                <w:numId w:val="25"/>
              </w:numPr>
              <w:tabs>
                <w:tab w:val="clear" w:pos="432"/>
              </w:tabs>
              <w:ind w:left="745" w:hanging="431"/>
            </w:pPr>
            <w:r w:rsidRPr="000754C6">
              <w:t>Conducting quantitative or qualitative research (as relevant to proposed methods)</w:t>
            </w:r>
          </w:p>
          <w:p w:rsidRPr="000754C6" w:rsidR="000754C6" w:rsidP="000754C6" w:rsidRDefault="000754C6" w14:paraId="3A74F665" w14:textId="77777777">
            <w:pPr>
              <w:pStyle w:val="ListParagraph"/>
              <w:numPr>
                <w:ilvl w:val="0"/>
                <w:numId w:val="25"/>
              </w:numPr>
              <w:tabs>
                <w:tab w:val="clear" w:pos="432"/>
              </w:tabs>
              <w:ind w:left="745" w:hanging="431"/>
            </w:pPr>
            <w:r w:rsidRPr="000754C6">
              <w:t>Accessing datasets and analysis</w:t>
            </w:r>
          </w:p>
          <w:p w:rsidRPr="000754C6" w:rsidR="000754C6" w:rsidP="000754C6" w:rsidRDefault="000754C6" w14:paraId="341D622D" w14:textId="77777777">
            <w:pPr>
              <w:pStyle w:val="ListParagraph"/>
              <w:numPr>
                <w:ilvl w:val="0"/>
                <w:numId w:val="25"/>
              </w:numPr>
              <w:tabs>
                <w:tab w:val="clear" w:pos="432"/>
              </w:tabs>
              <w:ind w:left="745" w:hanging="431"/>
            </w:pPr>
            <w:r w:rsidRPr="000754C6">
              <w:t xml:space="preserve">Engaging stakeholders, partners, and groups and communities whose voices are less often heard </w:t>
            </w:r>
          </w:p>
          <w:p w:rsidRPr="000754C6" w:rsidR="000754C6" w:rsidP="000754C6" w:rsidRDefault="000754C6" w14:paraId="664C17E3" w14:textId="77777777">
            <w:pPr>
              <w:pStyle w:val="ListParagraph"/>
              <w:numPr>
                <w:ilvl w:val="0"/>
                <w:numId w:val="25"/>
              </w:numPr>
              <w:tabs>
                <w:tab w:val="clear" w:pos="432"/>
              </w:tabs>
              <w:ind w:left="745" w:hanging="431"/>
            </w:pPr>
            <w:r w:rsidRPr="000754C6">
              <w:t xml:space="preserve">Synthesis of mixed methods data and the ability to develop findings and recommendations </w:t>
            </w:r>
          </w:p>
          <w:p w:rsidR="00EC6EBE" w:rsidP="00EC0F4F" w:rsidRDefault="00EC6EBE" w14:paraId="35DE4662" w14:textId="77777777"/>
          <w:p w:rsidRPr="000754C6" w:rsidR="00EC6EBE" w:rsidP="000754C6" w:rsidRDefault="000754C6" w14:paraId="27E9EFC5" w14:textId="32515340">
            <w:pPr>
              <w:rPr>
                <w:rFonts w:ascii="Arial" w:hAnsi="Arial" w:cs="Arial"/>
                <w:b/>
                <w:bCs/>
                <w:szCs w:val="22"/>
              </w:rPr>
            </w:pPr>
            <w:r w:rsidRPr="000754C6">
              <w:rPr>
                <w:rFonts w:ascii="Arial" w:hAnsi="Arial" w:cs="Arial"/>
                <w:b/>
                <w:bCs/>
                <w:szCs w:val="22"/>
              </w:rPr>
              <w:t xml:space="preserve">(Short CVs of each member of the team to be submitted with the application form)  </w:t>
            </w:r>
          </w:p>
        </w:tc>
        <w:tc>
          <w:tcPr>
            <w:tcW w:w="1713" w:type="dxa"/>
            <w:tcMar>
              <w:top w:w="0" w:type="dxa"/>
              <w:left w:w="108" w:type="dxa"/>
              <w:bottom w:w="0" w:type="dxa"/>
              <w:right w:w="108" w:type="dxa"/>
            </w:tcMar>
            <w:hideMark/>
          </w:tcPr>
          <w:p w:rsidRPr="00DD01C5" w:rsidR="00EC6EBE" w:rsidP="00EC0F4F" w:rsidRDefault="00EC6EBE" w14:paraId="54A0248B" w14:textId="77777777">
            <w:pPr>
              <w:ind w:left="177"/>
              <w:jc w:val="right"/>
              <w:rPr>
                <w:rFonts w:ascii="Arial" w:hAnsi="Arial" w:cs="Arial"/>
                <w:sz w:val="22"/>
                <w:szCs w:val="22"/>
              </w:rPr>
            </w:pPr>
            <w:r w:rsidRPr="00DD01C5">
              <w:rPr>
                <w:rFonts w:ascii="Arial" w:hAnsi="Arial" w:cs="Arial"/>
                <w:sz w:val="22"/>
                <w:szCs w:val="22"/>
              </w:rPr>
              <w:t>5</w:t>
            </w:r>
          </w:p>
        </w:tc>
        <w:tc>
          <w:tcPr>
            <w:tcW w:w="696" w:type="dxa"/>
            <w:tcMar>
              <w:top w:w="0" w:type="dxa"/>
              <w:left w:w="108" w:type="dxa"/>
              <w:bottom w:w="0" w:type="dxa"/>
              <w:right w:w="108" w:type="dxa"/>
            </w:tcMar>
            <w:hideMark/>
          </w:tcPr>
          <w:p w:rsidRPr="00DD01C5" w:rsidR="00EC6EBE" w:rsidP="00EC0F4F" w:rsidRDefault="00EC6EBE" w14:paraId="1EA6C961" w14:textId="77777777">
            <w:pPr>
              <w:ind w:left="177"/>
              <w:jc w:val="right"/>
              <w:rPr>
                <w:rFonts w:ascii="Arial" w:hAnsi="Arial" w:cs="Arial"/>
                <w:sz w:val="22"/>
                <w:szCs w:val="22"/>
              </w:rPr>
            </w:pPr>
            <w:r>
              <w:rPr>
                <w:rFonts w:ascii="Arial" w:hAnsi="Arial" w:cs="Arial"/>
                <w:sz w:val="22"/>
                <w:szCs w:val="22"/>
              </w:rPr>
              <w:t>10</w:t>
            </w:r>
          </w:p>
        </w:tc>
      </w:tr>
      <w:tr w:rsidRPr="00343229" w:rsidR="00EC6EBE" w:rsidTr="00C227B6" w14:paraId="0EEA1D84" w14:textId="77777777">
        <w:trPr>
          <w:trHeight w:val="263"/>
        </w:trPr>
        <w:tc>
          <w:tcPr>
            <w:tcW w:w="7372" w:type="dxa"/>
            <w:tcMar>
              <w:top w:w="0" w:type="dxa"/>
              <w:left w:w="108" w:type="dxa"/>
              <w:bottom w:w="0" w:type="dxa"/>
              <w:right w:w="108" w:type="dxa"/>
            </w:tcMar>
          </w:tcPr>
          <w:p w:rsidRPr="004F2E79" w:rsidR="004F2E79" w:rsidP="0057022A" w:rsidRDefault="0057022A" w14:paraId="5B9AC15D" w14:textId="16FD3E98">
            <w:pPr>
              <w:ind w:left="178"/>
              <w:rPr>
                <w:rFonts w:ascii="Arial" w:hAnsi="Arial" w:cs="Arial"/>
              </w:rPr>
            </w:pPr>
            <w:r>
              <w:rPr>
                <w:rFonts w:ascii="Arial" w:hAnsi="Arial" w:cs="Arial"/>
              </w:rPr>
              <w:t xml:space="preserve">Demonstrates a detailed understanding of young people and the risk factors for entry into the </w:t>
            </w:r>
            <w:r w:rsidR="004B62A8">
              <w:rPr>
                <w:rFonts w:ascii="Arial" w:hAnsi="Arial" w:cs="Arial"/>
              </w:rPr>
              <w:t>C</w:t>
            </w:r>
            <w:r>
              <w:rPr>
                <w:rFonts w:ascii="Arial" w:hAnsi="Arial" w:cs="Arial"/>
              </w:rPr>
              <w:t xml:space="preserve">riminal </w:t>
            </w:r>
            <w:r w:rsidR="004B62A8">
              <w:rPr>
                <w:rFonts w:ascii="Arial" w:hAnsi="Arial" w:cs="Arial"/>
              </w:rPr>
              <w:t>Justice S</w:t>
            </w:r>
            <w:r>
              <w:rPr>
                <w:rFonts w:ascii="Arial" w:hAnsi="Arial" w:cs="Arial"/>
              </w:rPr>
              <w:t xml:space="preserve">ystem, particularly in the context of serious violence.  </w:t>
            </w:r>
          </w:p>
        </w:tc>
        <w:tc>
          <w:tcPr>
            <w:tcW w:w="1713" w:type="dxa"/>
            <w:tcMar>
              <w:top w:w="0" w:type="dxa"/>
              <w:left w:w="108" w:type="dxa"/>
              <w:bottom w:w="0" w:type="dxa"/>
              <w:right w:w="108" w:type="dxa"/>
            </w:tcMar>
          </w:tcPr>
          <w:p w:rsidRPr="004F2E79" w:rsidR="00EC6EBE" w:rsidP="00EC0F4F" w:rsidRDefault="00EC6EBE" w14:paraId="5AF8FE9A" w14:textId="77777777">
            <w:pPr>
              <w:ind w:left="177"/>
              <w:jc w:val="right"/>
              <w:rPr>
                <w:rFonts w:ascii="Arial" w:hAnsi="Arial" w:cs="Arial"/>
                <w:sz w:val="22"/>
                <w:szCs w:val="22"/>
              </w:rPr>
            </w:pPr>
            <w:r w:rsidRPr="004F2E79">
              <w:rPr>
                <w:rFonts w:ascii="Arial" w:hAnsi="Arial" w:cs="Arial"/>
                <w:sz w:val="22"/>
                <w:szCs w:val="22"/>
              </w:rPr>
              <w:t>5</w:t>
            </w:r>
          </w:p>
        </w:tc>
        <w:tc>
          <w:tcPr>
            <w:tcW w:w="696" w:type="dxa"/>
            <w:tcMar>
              <w:top w:w="0" w:type="dxa"/>
              <w:left w:w="108" w:type="dxa"/>
              <w:bottom w:w="0" w:type="dxa"/>
              <w:right w:w="108" w:type="dxa"/>
            </w:tcMar>
          </w:tcPr>
          <w:p w:rsidRPr="004F2E79" w:rsidR="00EC6EBE" w:rsidP="00EC0F4F" w:rsidRDefault="00EC6EBE" w14:paraId="1D4C306A" w14:textId="77777777">
            <w:pPr>
              <w:ind w:left="177"/>
              <w:jc w:val="right"/>
              <w:rPr>
                <w:rFonts w:ascii="Arial" w:hAnsi="Arial" w:cs="Arial"/>
                <w:sz w:val="22"/>
                <w:szCs w:val="22"/>
              </w:rPr>
            </w:pPr>
            <w:r w:rsidRPr="004F2E79">
              <w:rPr>
                <w:rFonts w:ascii="Arial" w:hAnsi="Arial" w:cs="Arial"/>
                <w:sz w:val="22"/>
                <w:szCs w:val="22"/>
              </w:rPr>
              <w:t>10</w:t>
            </w:r>
          </w:p>
        </w:tc>
      </w:tr>
      <w:tr w:rsidRPr="00343229" w:rsidR="0057022A" w:rsidTr="00C227B6" w14:paraId="311DCD65" w14:textId="77777777">
        <w:trPr>
          <w:trHeight w:val="263"/>
        </w:trPr>
        <w:tc>
          <w:tcPr>
            <w:tcW w:w="7372" w:type="dxa"/>
            <w:tcMar>
              <w:top w:w="0" w:type="dxa"/>
              <w:left w:w="108" w:type="dxa"/>
              <w:bottom w:w="0" w:type="dxa"/>
              <w:right w:w="108" w:type="dxa"/>
            </w:tcMar>
          </w:tcPr>
          <w:p w:rsidR="0057022A" w:rsidP="0057022A" w:rsidRDefault="0057022A" w14:paraId="4B341FE6" w14:textId="53967335">
            <w:pPr>
              <w:ind w:left="178"/>
              <w:rPr>
                <w:rFonts w:ascii="Arial" w:hAnsi="Arial" w:cs="Arial"/>
              </w:rPr>
            </w:pPr>
            <w:r>
              <w:rPr>
                <w:rFonts w:ascii="Arial" w:hAnsi="Arial" w:cs="Arial"/>
              </w:rPr>
              <w:t>Demonstrates a detailed understanding of crime prevention and early intervention including diversionary pathways and out of court disposals</w:t>
            </w:r>
          </w:p>
        </w:tc>
        <w:tc>
          <w:tcPr>
            <w:tcW w:w="1713" w:type="dxa"/>
            <w:tcMar>
              <w:top w:w="0" w:type="dxa"/>
              <w:left w:w="108" w:type="dxa"/>
              <w:bottom w:w="0" w:type="dxa"/>
              <w:right w:w="108" w:type="dxa"/>
            </w:tcMar>
          </w:tcPr>
          <w:p w:rsidRPr="004F2E79" w:rsidR="0057022A" w:rsidP="00EC0F4F" w:rsidRDefault="00C227B6" w14:paraId="29B8943F" w14:textId="6A1659B1">
            <w:pPr>
              <w:ind w:left="177"/>
              <w:jc w:val="right"/>
              <w:rPr>
                <w:rFonts w:ascii="Arial" w:hAnsi="Arial" w:cs="Arial"/>
                <w:sz w:val="22"/>
                <w:szCs w:val="22"/>
              </w:rPr>
            </w:pPr>
            <w:r>
              <w:rPr>
                <w:rFonts w:ascii="Arial" w:hAnsi="Arial" w:cs="Arial"/>
                <w:sz w:val="22"/>
                <w:szCs w:val="22"/>
              </w:rPr>
              <w:t>5</w:t>
            </w:r>
          </w:p>
        </w:tc>
        <w:tc>
          <w:tcPr>
            <w:tcW w:w="696" w:type="dxa"/>
            <w:tcMar>
              <w:top w:w="0" w:type="dxa"/>
              <w:left w:w="108" w:type="dxa"/>
              <w:bottom w:w="0" w:type="dxa"/>
              <w:right w:w="108" w:type="dxa"/>
            </w:tcMar>
          </w:tcPr>
          <w:p w:rsidRPr="004F2E79" w:rsidR="0057022A" w:rsidP="00EC0F4F" w:rsidRDefault="00C227B6" w14:paraId="291BF8A0" w14:textId="07E2FE13">
            <w:pPr>
              <w:ind w:left="177"/>
              <w:jc w:val="right"/>
              <w:rPr>
                <w:rFonts w:ascii="Arial" w:hAnsi="Arial" w:cs="Arial"/>
                <w:sz w:val="22"/>
                <w:szCs w:val="22"/>
              </w:rPr>
            </w:pPr>
            <w:r>
              <w:rPr>
                <w:rFonts w:ascii="Arial" w:hAnsi="Arial" w:cs="Arial"/>
                <w:sz w:val="22"/>
                <w:szCs w:val="22"/>
              </w:rPr>
              <w:t>10</w:t>
            </w:r>
          </w:p>
        </w:tc>
      </w:tr>
      <w:tr w:rsidRPr="00343229" w:rsidR="00EC6EBE" w:rsidTr="00C227B6" w14:paraId="7493BF72" w14:textId="77777777">
        <w:trPr>
          <w:trHeight w:val="263"/>
        </w:trPr>
        <w:tc>
          <w:tcPr>
            <w:tcW w:w="7372" w:type="dxa"/>
            <w:tcMar>
              <w:top w:w="0" w:type="dxa"/>
              <w:left w:w="108" w:type="dxa"/>
              <w:bottom w:w="0" w:type="dxa"/>
              <w:right w:w="108" w:type="dxa"/>
            </w:tcMar>
          </w:tcPr>
          <w:p w:rsidRPr="004F2E79" w:rsidR="00EC6EBE" w:rsidP="00EC0F4F" w:rsidRDefault="00C227B6" w14:paraId="467AFD9C" w14:textId="17C55E7F">
            <w:pPr>
              <w:ind w:left="178"/>
              <w:rPr>
                <w:rFonts w:ascii="Arial" w:hAnsi="Arial" w:cs="Arial"/>
              </w:rPr>
            </w:pPr>
            <w:r>
              <w:rPr>
                <w:rFonts w:ascii="Arial" w:hAnsi="Arial" w:cs="Arial"/>
              </w:rPr>
              <w:t xml:space="preserve">Demonstrates experience of conducting research engaging with young people and the community.  </w:t>
            </w:r>
            <w:r w:rsidRPr="004F2E79" w:rsidR="00EC6EBE">
              <w:rPr>
                <w:rFonts w:ascii="Arial" w:hAnsi="Arial" w:cs="Arial"/>
              </w:rPr>
              <w:t xml:space="preserve">Details an appropriate plan for </w:t>
            </w:r>
            <w:r w:rsidRPr="004F2E79" w:rsidR="00BE7FCD">
              <w:rPr>
                <w:rFonts w:ascii="Arial" w:hAnsi="Arial" w:cs="Arial"/>
              </w:rPr>
              <w:t xml:space="preserve">identification and engagement of key participants.  </w:t>
            </w:r>
          </w:p>
        </w:tc>
        <w:tc>
          <w:tcPr>
            <w:tcW w:w="1713" w:type="dxa"/>
            <w:tcMar>
              <w:top w:w="0" w:type="dxa"/>
              <w:left w:w="108" w:type="dxa"/>
              <w:bottom w:w="0" w:type="dxa"/>
              <w:right w:w="108" w:type="dxa"/>
            </w:tcMar>
          </w:tcPr>
          <w:p w:rsidRPr="004F2E79" w:rsidR="00EC6EBE" w:rsidP="00EC0F4F" w:rsidRDefault="00EC6EBE" w14:paraId="77602D66" w14:textId="77777777">
            <w:pPr>
              <w:ind w:left="177"/>
              <w:jc w:val="right"/>
              <w:rPr>
                <w:rFonts w:ascii="Arial" w:hAnsi="Arial" w:cs="Arial"/>
                <w:sz w:val="22"/>
                <w:szCs w:val="22"/>
              </w:rPr>
            </w:pPr>
            <w:r w:rsidRPr="004F2E79">
              <w:rPr>
                <w:rFonts w:ascii="Arial" w:hAnsi="Arial" w:cs="Arial"/>
                <w:sz w:val="22"/>
                <w:szCs w:val="22"/>
              </w:rPr>
              <w:t>5</w:t>
            </w:r>
          </w:p>
        </w:tc>
        <w:tc>
          <w:tcPr>
            <w:tcW w:w="696" w:type="dxa"/>
            <w:tcMar>
              <w:top w:w="0" w:type="dxa"/>
              <w:left w:w="108" w:type="dxa"/>
              <w:bottom w:w="0" w:type="dxa"/>
              <w:right w:w="108" w:type="dxa"/>
            </w:tcMar>
          </w:tcPr>
          <w:p w:rsidRPr="004F2E79" w:rsidR="00EC6EBE" w:rsidP="00EC0F4F" w:rsidRDefault="00EC6EBE" w14:paraId="3FBA9931" w14:textId="54290E9F">
            <w:pPr>
              <w:ind w:left="177"/>
              <w:jc w:val="right"/>
              <w:rPr>
                <w:rFonts w:ascii="Arial" w:hAnsi="Arial" w:cs="Arial"/>
                <w:sz w:val="22"/>
                <w:szCs w:val="22"/>
              </w:rPr>
            </w:pPr>
            <w:r w:rsidRPr="004F2E79">
              <w:rPr>
                <w:rFonts w:ascii="Arial" w:hAnsi="Arial" w:cs="Arial"/>
                <w:sz w:val="22"/>
                <w:szCs w:val="22"/>
              </w:rPr>
              <w:t>1</w:t>
            </w:r>
            <w:r w:rsidR="00C227B6">
              <w:rPr>
                <w:rFonts w:ascii="Arial" w:hAnsi="Arial" w:cs="Arial"/>
                <w:sz w:val="22"/>
                <w:szCs w:val="22"/>
              </w:rPr>
              <w:t>5</w:t>
            </w:r>
          </w:p>
        </w:tc>
      </w:tr>
      <w:tr w:rsidRPr="00343229" w:rsidR="00EC6EBE" w:rsidTr="00C227B6" w14:paraId="3CD3E914" w14:textId="77777777">
        <w:trPr>
          <w:trHeight w:val="137"/>
        </w:trPr>
        <w:tc>
          <w:tcPr>
            <w:tcW w:w="9781" w:type="dxa"/>
            <w:gridSpan w:val="3"/>
            <w:shd w:val="clear" w:color="auto" w:fill="F79646" w:themeFill="accent6"/>
            <w:tcMar>
              <w:top w:w="0" w:type="dxa"/>
              <w:left w:w="108" w:type="dxa"/>
              <w:bottom w:w="0" w:type="dxa"/>
              <w:right w:w="108" w:type="dxa"/>
            </w:tcMar>
          </w:tcPr>
          <w:p w:rsidRPr="00DD01C5" w:rsidR="00EC6EBE" w:rsidP="00EC0F4F" w:rsidRDefault="00EC6EBE" w14:paraId="63245FAA" w14:textId="77777777">
            <w:pPr>
              <w:ind w:left="177"/>
              <w:rPr>
                <w:rFonts w:ascii="Arial" w:hAnsi="Arial" w:cs="Arial"/>
                <w:b/>
                <w:bCs/>
                <w:sz w:val="22"/>
                <w:szCs w:val="22"/>
              </w:rPr>
            </w:pPr>
          </w:p>
          <w:p w:rsidRPr="00DD01C5" w:rsidR="00EC6EBE" w:rsidP="00EC0F4F" w:rsidRDefault="00EC6EBE" w14:paraId="0576E24A" w14:textId="77777777">
            <w:pPr>
              <w:ind w:left="177"/>
              <w:rPr>
                <w:rFonts w:ascii="Arial" w:hAnsi="Arial" w:cs="Arial"/>
                <w:b/>
                <w:bCs/>
                <w:sz w:val="22"/>
                <w:szCs w:val="22"/>
              </w:rPr>
            </w:pPr>
            <w:r w:rsidRPr="00DD01C5">
              <w:rPr>
                <w:rFonts w:ascii="Arial" w:hAnsi="Arial" w:cs="Arial"/>
                <w:b/>
                <w:bCs/>
                <w:sz w:val="22"/>
                <w:szCs w:val="22"/>
              </w:rPr>
              <w:t>Quality</w:t>
            </w:r>
          </w:p>
        </w:tc>
      </w:tr>
      <w:tr w:rsidRPr="00343229" w:rsidR="00EC6EBE" w:rsidTr="00C227B6" w14:paraId="0547C20F" w14:textId="77777777">
        <w:trPr>
          <w:trHeight w:val="401"/>
        </w:trPr>
        <w:tc>
          <w:tcPr>
            <w:tcW w:w="7372" w:type="dxa"/>
            <w:tcMar>
              <w:top w:w="0" w:type="dxa"/>
              <w:left w:w="108" w:type="dxa"/>
              <w:bottom w:w="0" w:type="dxa"/>
              <w:right w:w="108" w:type="dxa"/>
            </w:tcMar>
          </w:tcPr>
          <w:p w:rsidRPr="007A3053" w:rsidR="00EC6EBE" w:rsidP="00EC0F4F" w:rsidRDefault="00EC6EBE" w14:paraId="28A186F3" w14:textId="3A0133BA">
            <w:pPr>
              <w:ind w:left="178"/>
              <w:rPr>
                <w:rFonts w:ascii="Arial" w:hAnsi="Arial" w:cs="Arial"/>
              </w:rPr>
            </w:pPr>
            <w:r w:rsidRPr="007A3053">
              <w:rPr>
                <w:rFonts w:ascii="Arial" w:hAnsi="Arial" w:cs="Arial"/>
              </w:rPr>
              <w:t xml:space="preserve">Includes a clear well-articulated detailed description of the research </w:t>
            </w:r>
            <w:r w:rsidR="000754C6">
              <w:rPr>
                <w:rFonts w:ascii="Arial" w:hAnsi="Arial" w:cs="Arial"/>
              </w:rPr>
              <w:t xml:space="preserve">approach and methods </w:t>
            </w:r>
            <w:r w:rsidRPr="007A3053" w:rsidR="000754C6">
              <w:rPr>
                <w:rFonts w:ascii="Arial" w:hAnsi="Arial" w:cs="Arial"/>
              </w:rPr>
              <w:t>and how the information will be synthesised to draw conclusions.</w:t>
            </w:r>
          </w:p>
        </w:tc>
        <w:tc>
          <w:tcPr>
            <w:tcW w:w="1713" w:type="dxa"/>
            <w:tcMar>
              <w:top w:w="0" w:type="dxa"/>
              <w:left w:w="108" w:type="dxa"/>
              <w:bottom w:w="0" w:type="dxa"/>
              <w:right w:w="108" w:type="dxa"/>
            </w:tcMar>
            <w:hideMark/>
          </w:tcPr>
          <w:p w:rsidRPr="00DD01C5" w:rsidR="00EC6EBE" w:rsidP="00EC0F4F" w:rsidRDefault="00EC6EBE" w14:paraId="57C2D438" w14:textId="77777777">
            <w:pPr>
              <w:ind w:left="177"/>
              <w:jc w:val="right"/>
              <w:rPr>
                <w:rFonts w:ascii="Arial" w:hAnsi="Arial" w:cs="Arial"/>
                <w:sz w:val="22"/>
                <w:szCs w:val="22"/>
              </w:rPr>
            </w:pPr>
            <w:r w:rsidRPr="00DD01C5">
              <w:rPr>
                <w:rFonts w:ascii="Arial" w:hAnsi="Arial" w:cs="Arial"/>
                <w:sz w:val="22"/>
                <w:szCs w:val="22"/>
              </w:rPr>
              <w:t>5</w:t>
            </w:r>
          </w:p>
        </w:tc>
        <w:tc>
          <w:tcPr>
            <w:tcW w:w="696" w:type="dxa"/>
            <w:tcMar>
              <w:top w:w="0" w:type="dxa"/>
              <w:left w:w="108" w:type="dxa"/>
              <w:bottom w:w="0" w:type="dxa"/>
              <w:right w:w="108" w:type="dxa"/>
            </w:tcMar>
            <w:hideMark/>
          </w:tcPr>
          <w:p w:rsidRPr="00DD01C5" w:rsidR="00EC6EBE" w:rsidP="00EC0F4F" w:rsidRDefault="00EC6EBE" w14:paraId="68544E2B" w14:textId="77777777">
            <w:pPr>
              <w:ind w:left="177"/>
              <w:jc w:val="right"/>
              <w:rPr>
                <w:rFonts w:ascii="Arial" w:hAnsi="Arial" w:cs="Arial"/>
                <w:sz w:val="22"/>
                <w:szCs w:val="22"/>
              </w:rPr>
            </w:pPr>
            <w:r w:rsidRPr="00DD01C5">
              <w:rPr>
                <w:rFonts w:ascii="Arial" w:hAnsi="Arial" w:cs="Arial"/>
                <w:sz w:val="22"/>
                <w:szCs w:val="22"/>
              </w:rPr>
              <w:t>15</w:t>
            </w:r>
          </w:p>
        </w:tc>
      </w:tr>
      <w:tr w:rsidRPr="00343229" w:rsidR="00EC6EBE" w:rsidTr="00C227B6" w14:paraId="7ED38F8B" w14:textId="77777777">
        <w:trPr>
          <w:trHeight w:val="699"/>
        </w:trPr>
        <w:tc>
          <w:tcPr>
            <w:tcW w:w="7372" w:type="dxa"/>
            <w:tcMar>
              <w:top w:w="0" w:type="dxa"/>
              <w:left w:w="108" w:type="dxa"/>
              <w:bottom w:w="0" w:type="dxa"/>
              <w:right w:w="108" w:type="dxa"/>
            </w:tcMar>
            <w:hideMark/>
          </w:tcPr>
          <w:p w:rsidRPr="007A3053" w:rsidR="00EC6EBE" w:rsidP="00EC0F4F" w:rsidRDefault="00EC6EBE" w14:paraId="2CEC6549" w14:textId="77F2EC4A">
            <w:pPr>
              <w:ind w:left="178"/>
              <w:rPr>
                <w:rFonts w:ascii="Arial" w:hAnsi="Arial" w:cs="Arial"/>
              </w:rPr>
            </w:pPr>
            <w:r w:rsidRPr="007A3053">
              <w:rPr>
                <w:rFonts w:ascii="Arial" w:hAnsi="Arial" w:cs="Arial"/>
              </w:rPr>
              <w:t xml:space="preserve">Includes details of how research ethics and governance standards </w:t>
            </w:r>
            <w:r>
              <w:rPr>
                <w:rFonts w:ascii="Arial" w:hAnsi="Arial" w:cs="Arial"/>
              </w:rPr>
              <w:t>will</w:t>
            </w:r>
            <w:r w:rsidRPr="007A3053">
              <w:rPr>
                <w:rFonts w:ascii="Arial" w:hAnsi="Arial" w:cs="Arial"/>
              </w:rPr>
              <w:t xml:space="preserve"> be applied and maintained </w:t>
            </w:r>
            <w:r w:rsidRPr="007A3053" w:rsidR="00AD30E7">
              <w:rPr>
                <w:rFonts w:ascii="Arial" w:hAnsi="Arial" w:cs="Arial"/>
              </w:rPr>
              <w:t>e.g.,</w:t>
            </w:r>
            <w:r w:rsidRPr="007A3053">
              <w:rPr>
                <w:rFonts w:ascii="Arial" w:hAnsi="Arial" w:cs="Arial"/>
              </w:rPr>
              <w:t xml:space="preserve"> identification of particip</w:t>
            </w:r>
            <w:r>
              <w:rPr>
                <w:rFonts w:ascii="Arial" w:hAnsi="Arial" w:cs="Arial"/>
              </w:rPr>
              <w:t>ants, consent, confidentiality and safeguarding</w:t>
            </w:r>
            <w:r w:rsidRPr="007A3053">
              <w:rPr>
                <w:rFonts w:ascii="Arial" w:hAnsi="Arial" w:cs="Arial"/>
              </w:rPr>
              <w:t xml:space="preserve">. </w:t>
            </w:r>
            <w:r>
              <w:rPr>
                <w:rFonts w:ascii="Arial" w:hAnsi="Arial" w:cs="Arial"/>
              </w:rPr>
              <w:t>This should include</w:t>
            </w:r>
            <w:r w:rsidRPr="007A3053">
              <w:rPr>
                <w:rFonts w:ascii="Arial" w:hAnsi="Arial" w:cs="Arial"/>
              </w:rPr>
              <w:t xml:space="preserve"> assurance </w:t>
            </w:r>
            <w:proofErr w:type="gramStart"/>
            <w:r w:rsidRPr="007A3053">
              <w:rPr>
                <w:rFonts w:ascii="Arial" w:hAnsi="Arial" w:cs="Arial"/>
              </w:rPr>
              <w:t>with regard to</w:t>
            </w:r>
            <w:proofErr w:type="gramEnd"/>
            <w:r w:rsidRPr="007A3053">
              <w:rPr>
                <w:rFonts w:ascii="Arial" w:hAnsi="Arial" w:cs="Arial"/>
              </w:rPr>
              <w:t xml:space="preserve"> data integrity and information security, including compliance with GDPR legislation.</w:t>
            </w:r>
          </w:p>
        </w:tc>
        <w:tc>
          <w:tcPr>
            <w:tcW w:w="1713" w:type="dxa"/>
            <w:tcMar>
              <w:top w:w="0" w:type="dxa"/>
              <w:left w:w="108" w:type="dxa"/>
              <w:bottom w:w="0" w:type="dxa"/>
              <w:right w:w="108" w:type="dxa"/>
            </w:tcMar>
            <w:hideMark/>
          </w:tcPr>
          <w:p w:rsidRPr="00DD01C5" w:rsidR="00EC6EBE" w:rsidP="00EC0F4F" w:rsidRDefault="00EC6EBE" w14:paraId="03F65EF7" w14:textId="77777777">
            <w:pPr>
              <w:ind w:left="177"/>
              <w:jc w:val="right"/>
              <w:rPr>
                <w:rFonts w:ascii="Arial" w:hAnsi="Arial" w:cs="Arial"/>
                <w:sz w:val="22"/>
                <w:szCs w:val="22"/>
              </w:rPr>
            </w:pPr>
            <w:r w:rsidRPr="00DD01C5">
              <w:rPr>
                <w:rFonts w:ascii="Arial" w:hAnsi="Arial" w:cs="Arial"/>
                <w:sz w:val="22"/>
                <w:szCs w:val="22"/>
              </w:rPr>
              <w:t>5</w:t>
            </w:r>
          </w:p>
        </w:tc>
        <w:tc>
          <w:tcPr>
            <w:tcW w:w="696" w:type="dxa"/>
            <w:tcMar>
              <w:top w:w="0" w:type="dxa"/>
              <w:left w:w="108" w:type="dxa"/>
              <w:bottom w:w="0" w:type="dxa"/>
              <w:right w:w="108" w:type="dxa"/>
            </w:tcMar>
            <w:hideMark/>
          </w:tcPr>
          <w:p w:rsidRPr="00DD01C5" w:rsidR="00EC6EBE" w:rsidP="00EC0F4F" w:rsidRDefault="00EC6EBE" w14:paraId="1DA5DB1C" w14:textId="77777777">
            <w:pPr>
              <w:ind w:left="177"/>
              <w:jc w:val="right"/>
              <w:rPr>
                <w:rFonts w:ascii="Arial" w:hAnsi="Arial" w:cs="Arial"/>
                <w:sz w:val="22"/>
                <w:szCs w:val="22"/>
              </w:rPr>
            </w:pPr>
            <w:r w:rsidRPr="00DD01C5">
              <w:rPr>
                <w:rFonts w:ascii="Arial" w:hAnsi="Arial" w:cs="Arial"/>
                <w:sz w:val="22"/>
                <w:szCs w:val="22"/>
              </w:rPr>
              <w:t>15</w:t>
            </w:r>
          </w:p>
        </w:tc>
      </w:tr>
      <w:tr w:rsidRPr="00343229" w:rsidR="00EC6EBE" w:rsidTr="00C227B6" w14:paraId="7079C394" w14:textId="77777777">
        <w:trPr>
          <w:trHeight w:val="401"/>
        </w:trPr>
        <w:tc>
          <w:tcPr>
            <w:tcW w:w="7372" w:type="dxa"/>
            <w:tcMar>
              <w:top w:w="0" w:type="dxa"/>
              <w:left w:w="108" w:type="dxa"/>
              <w:bottom w:w="0" w:type="dxa"/>
              <w:right w:w="108" w:type="dxa"/>
            </w:tcMar>
            <w:hideMark/>
          </w:tcPr>
          <w:p w:rsidRPr="000754C6" w:rsidR="000754C6" w:rsidP="000754C6" w:rsidRDefault="000754C6" w14:paraId="26130185" w14:textId="5B2A41D5">
            <w:pPr>
              <w:ind w:left="180"/>
              <w:rPr>
                <w:rFonts w:ascii="Arial" w:hAnsi="Arial" w:cs="Arial"/>
              </w:rPr>
            </w:pPr>
            <w:r w:rsidRPr="000754C6">
              <w:rPr>
                <w:rFonts w:ascii="Arial" w:hAnsi="Arial" w:cs="Arial"/>
              </w:rPr>
              <w:t xml:space="preserve">Provide a research plan including a timeline </w:t>
            </w:r>
            <w:r>
              <w:rPr>
                <w:rFonts w:ascii="Arial" w:hAnsi="Arial" w:cs="Arial"/>
              </w:rPr>
              <w:t>indicating key outputs and</w:t>
            </w:r>
            <w:r w:rsidRPr="000754C6">
              <w:rPr>
                <w:rFonts w:ascii="Arial" w:hAnsi="Arial" w:cs="Arial"/>
              </w:rPr>
              <w:t xml:space="preserve"> detail on anticipated risks and contingencies</w:t>
            </w:r>
            <w:r>
              <w:rPr>
                <w:rFonts w:ascii="Arial" w:hAnsi="Arial" w:cs="Arial"/>
              </w:rPr>
              <w:t>.</w:t>
            </w:r>
          </w:p>
          <w:p w:rsidRPr="007A3053" w:rsidR="00EC6EBE" w:rsidP="00EC0F4F" w:rsidRDefault="00EC6EBE" w14:paraId="1536C78D" w14:textId="43476C50">
            <w:pPr>
              <w:ind w:left="178"/>
              <w:rPr>
                <w:rFonts w:ascii="Arial" w:hAnsi="Arial" w:cs="Arial"/>
              </w:rPr>
            </w:pPr>
          </w:p>
        </w:tc>
        <w:tc>
          <w:tcPr>
            <w:tcW w:w="1713" w:type="dxa"/>
            <w:tcMar>
              <w:top w:w="0" w:type="dxa"/>
              <w:left w:w="108" w:type="dxa"/>
              <w:bottom w:w="0" w:type="dxa"/>
              <w:right w:w="108" w:type="dxa"/>
            </w:tcMar>
            <w:hideMark/>
          </w:tcPr>
          <w:p w:rsidRPr="00DD01C5" w:rsidR="00EC6EBE" w:rsidP="00EC0F4F" w:rsidRDefault="00EC6EBE" w14:paraId="71923008" w14:textId="77777777">
            <w:pPr>
              <w:ind w:left="177"/>
              <w:jc w:val="right"/>
              <w:rPr>
                <w:rFonts w:ascii="Arial" w:hAnsi="Arial" w:cs="Arial"/>
                <w:sz w:val="22"/>
                <w:szCs w:val="22"/>
              </w:rPr>
            </w:pPr>
            <w:r w:rsidRPr="00DD01C5">
              <w:rPr>
                <w:rFonts w:ascii="Arial" w:hAnsi="Arial" w:cs="Arial"/>
                <w:sz w:val="22"/>
                <w:szCs w:val="22"/>
              </w:rPr>
              <w:t>5</w:t>
            </w:r>
          </w:p>
        </w:tc>
        <w:tc>
          <w:tcPr>
            <w:tcW w:w="696" w:type="dxa"/>
            <w:tcMar>
              <w:top w:w="0" w:type="dxa"/>
              <w:left w:w="108" w:type="dxa"/>
              <w:bottom w:w="0" w:type="dxa"/>
              <w:right w:w="108" w:type="dxa"/>
            </w:tcMar>
            <w:hideMark/>
          </w:tcPr>
          <w:p w:rsidRPr="00DD01C5" w:rsidR="00EC6EBE" w:rsidP="00EC0F4F" w:rsidRDefault="00EC6EBE" w14:paraId="10498B82" w14:textId="12DBF1DE">
            <w:pPr>
              <w:ind w:left="177"/>
              <w:jc w:val="right"/>
              <w:rPr>
                <w:rFonts w:ascii="Arial" w:hAnsi="Arial" w:cs="Arial"/>
                <w:sz w:val="22"/>
                <w:szCs w:val="22"/>
              </w:rPr>
            </w:pPr>
            <w:r w:rsidRPr="00DD01C5">
              <w:rPr>
                <w:rFonts w:ascii="Arial" w:hAnsi="Arial" w:cs="Arial"/>
                <w:sz w:val="22"/>
                <w:szCs w:val="22"/>
              </w:rPr>
              <w:t>1</w:t>
            </w:r>
            <w:r w:rsidR="00C227B6">
              <w:rPr>
                <w:rFonts w:ascii="Arial" w:hAnsi="Arial" w:cs="Arial"/>
                <w:sz w:val="22"/>
                <w:szCs w:val="22"/>
              </w:rPr>
              <w:t>0</w:t>
            </w:r>
          </w:p>
        </w:tc>
      </w:tr>
      <w:tr w:rsidRPr="00343229" w:rsidR="00EC6EBE" w:rsidTr="00C227B6" w14:paraId="76AF7B10" w14:textId="77777777">
        <w:trPr>
          <w:trHeight w:val="137"/>
        </w:trPr>
        <w:tc>
          <w:tcPr>
            <w:tcW w:w="9781" w:type="dxa"/>
            <w:gridSpan w:val="3"/>
            <w:shd w:val="clear" w:color="auto" w:fill="F79646" w:themeFill="accent6"/>
            <w:tcMar>
              <w:top w:w="0" w:type="dxa"/>
              <w:left w:w="108" w:type="dxa"/>
              <w:bottom w:w="0" w:type="dxa"/>
              <w:right w:w="108" w:type="dxa"/>
            </w:tcMar>
          </w:tcPr>
          <w:p w:rsidRPr="003D7ABB" w:rsidR="00EC6EBE" w:rsidP="00EC0F4F" w:rsidRDefault="00EC6EBE" w14:paraId="0A50FE4E" w14:textId="77777777">
            <w:pPr>
              <w:ind w:left="177"/>
              <w:rPr>
                <w:rFonts w:ascii="Arial" w:hAnsi="Arial" w:cs="Arial"/>
                <w:b/>
                <w:bCs/>
                <w:sz w:val="22"/>
                <w:szCs w:val="22"/>
              </w:rPr>
            </w:pPr>
          </w:p>
          <w:p w:rsidRPr="003D7ABB" w:rsidR="00EC6EBE" w:rsidP="00EC0F4F" w:rsidRDefault="00EC6EBE" w14:paraId="60389B6C" w14:textId="77777777">
            <w:pPr>
              <w:ind w:left="177"/>
              <w:rPr>
                <w:rFonts w:ascii="Arial" w:hAnsi="Arial" w:cs="Arial"/>
                <w:b/>
                <w:bCs/>
                <w:sz w:val="22"/>
                <w:szCs w:val="22"/>
              </w:rPr>
            </w:pPr>
            <w:r w:rsidRPr="003D7ABB">
              <w:rPr>
                <w:rFonts w:ascii="Arial" w:hAnsi="Arial" w:cs="Arial"/>
                <w:b/>
                <w:bCs/>
                <w:sz w:val="22"/>
                <w:szCs w:val="22"/>
              </w:rPr>
              <w:t>Pric</w:t>
            </w:r>
            <w:r>
              <w:rPr>
                <w:rFonts w:ascii="Arial" w:hAnsi="Arial" w:cs="Arial"/>
                <w:b/>
                <w:bCs/>
                <w:sz w:val="22"/>
                <w:szCs w:val="22"/>
              </w:rPr>
              <w:t>ing</w:t>
            </w:r>
          </w:p>
        </w:tc>
      </w:tr>
      <w:tr w:rsidRPr="003D7ABB" w:rsidR="00EC6EBE" w:rsidTr="00C227B6" w14:paraId="4820D01B" w14:textId="77777777">
        <w:trPr>
          <w:trHeight w:val="264"/>
        </w:trPr>
        <w:tc>
          <w:tcPr>
            <w:tcW w:w="7372" w:type="dxa"/>
            <w:tcMar>
              <w:top w:w="0" w:type="dxa"/>
              <w:left w:w="108" w:type="dxa"/>
              <w:bottom w:w="0" w:type="dxa"/>
              <w:right w:w="108" w:type="dxa"/>
            </w:tcMar>
            <w:hideMark/>
          </w:tcPr>
          <w:p w:rsidRPr="003D7ABB" w:rsidR="00EC6EBE" w:rsidP="00EC6EBE" w:rsidRDefault="00EC6EBE" w14:paraId="4511062E" w14:textId="77777777">
            <w:pPr>
              <w:pStyle w:val="ListParagraph"/>
              <w:numPr>
                <w:ilvl w:val="0"/>
                <w:numId w:val="24"/>
              </w:numPr>
              <w:spacing w:after="120" w:line="276" w:lineRule="auto"/>
              <w:ind w:left="603"/>
              <w:jc w:val="left"/>
              <w:rPr>
                <w:rFonts w:cstheme="minorHAnsi"/>
              </w:rPr>
            </w:pPr>
            <w:r w:rsidRPr="003D7ABB">
              <w:rPr>
                <w:rFonts w:cstheme="minorHAnsi"/>
              </w:rPr>
              <w:t>Breakdown of costs with allocation of time and personnel to specified tasks</w:t>
            </w:r>
          </w:p>
          <w:p w:rsidRPr="003D7ABB" w:rsidR="00EC6EBE" w:rsidP="00EC6EBE" w:rsidRDefault="00EC6EBE" w14:paraId="3926E5CF" w14:textId="77777777">
            <w:pPr>
              <w:pStyle w:val="ListParagraph"/>
              <w:numPr>
                <w:ilvl w:val="0"/>
                <w:numId w:val="24"/>
              </w:numPr>
              <w:spacing w:after="120" w:line="276" w:lineRule="auto"/>
              <w:ind w:left="603"/>
              <w:jc w:val="left"/>
              <w:rPr>
                <w:rFonts w:cstheme="minorHAnsi"/>
              </w:rPr>
            </w:pPr>
            <w:r w:rsidRPr="003D7ABB">
              <w:rPr>
                <w:rFonts w:cstheme="minorHAnsi"/>
              </w:rPr>
              <w:t>Value for money</w:t>
            </w:r>
          </w:p>
        </w:tc>
        <w:tc>
          <w:tcPr>
            <w:tcW w:w="1713" w:type="dxa"/>
            <w:tcMar>
              <w:top w:w="0" w:type="dxa"/>
              <w:left w:w="108" w:type="dxa"/>
              <w:bottom w:w="0" w:type="dxa"/>
              <w:right w:w="108" w:type="dxa"/>
            </w:tcMar>
            <w:hideMark/>
          </w:tcPr>
          <w:p w:rsidRPr="003D7ABB" w:rsidR="00EC6EBE" w:rsidP="00EC0F4F" w:rsidRDefault="00EC6EBE" w14:paraId="244AFA89" w14:textId="77777777">
            <w:pPr>
              <w:ind w:left="177"/>
              <w:jc w:val="right"/>
              <w:rPr>
                <w:rFonts w:ascii="Arial" w:hAnsi="Arial" w:cs="Arial"/>
                <w:sz w:val="22"/>
                <w:szCs w:val="22"/>
              </w:rPr>
            </w:pPr>
            <w:r w:rsidRPr="003D7ABB">
              <w:rPr>
                <w:rFonts w:ascii="Arial" w:hAnsi="Arial" w:cs="Arial"/>
                <w:sz w:val="22"/>
                <w:szCs w:val="22"/>
              </w:rPr>
              <w:t>5</w:t>
            </w:r>
          </w:p>
        </w:tc>
        <w:tc>
          <w:tcPr>
            <w:tcW w:w="696" w:type="dxa"/>
            <w:tcMar>
              <w:top w:w="0" w:type="dxa"/>
              <w:left w:w="108" w:type="dxa"/>
              <w:bottom w:w="0" w:type="dxa"/>
              <w:right w:w="108" w:type="dxa"/>
            </w:tcMar>
            <w:hideMark/>
          </w:tcPr>
          <w:p w:rsidRPr="003D7ABB" w:rsidR="00EC6EBE" w:rsidP="00EC0F4F" w:rsidRDefault="00EC6EBE" w14:paraId="6B7A266B" w14:textId="77777777">
            <w:pPr>
              <w:ind w:left="177"/>
              <w:jc w:val="right"/>
              <w:rPr>
                <w:rFonts w:ascii="Arial" w:hAnsi="Arial" w:cs="Arial"/>
                <w:color w:val="FF0000"/>
                <w:sz w:val="22"/>
                <w:szCs w:val="22"/>
              </w:rPr>
            </w:pPr>
            <w:r w:rsidRPr="00DD01C5">
              <w:rPr>
                <w:rFonts w:ascii="Arial" w:hAnsi="Arial" w:cs="Arial"/>
                <w:sz w:val="22"/>
                <w:szCs w:val="22"/>
              </w:rPr>
              <w:t>1</w:t>
            </w:r>
            <w:r>
              <w:rPr>
                <w:rFonts w:ascii="Arial" w:hAnsi="Arial" w:cs="Arial"/>
                <w:sz w:val="22"/>
                <w:szCs w:val="22"/>
              </w:rPr>
              <w:t>5</w:t>
            </w:r>
          </w:p>
        </w:tc>
      </w:tr>
      <w:tr w:rsidRPr="003D7ABB" w:rsidR="00EC6EBE" w:rsidTr="00C227B6" w14:paraId="03BD45E8" w14:textId="77777777">
        <w:trPr>
          <w:trHeight w:val="273"/>
        </w:trPr>
        <w:tc>
          <w:tcPr>
            <w:tcW w:w="7372" w:type="dxa"/>
            <w:shd w:val="clear" w:color="auto" w:fill="F79646" w:themeFill="accent6"/>
            <w:tcMar>
              <w:top w:w="0" w:type="dxa"/>
              <w:left w:w="108" w:type="dxa"/>
              <w:bottom w:w="0" w:type="dxa"/>
              <w:right w:w="108" w:type="dxa"/>
            </w:tcMar>
          </w:tcPr>
          <w:p w:rsidRPr="003D7ABB" w:rsidR="00EC6EBE" w:rsidP="00EC0F4F" w:rsidRDefault="00EC6EBE" w14:paraId="2DDC71C1" w14:textId="77777777">
            <w:pPr>
              <w:ind w:left="177"/>
              <w:rPr>
                <w:rFonts w:ascii="Arial" w:hAnsi="Arial" w:cs="Arial"/>
                <w:b/>
                <w:bCs/>
                <w:sz w:val="22"/>
                <w:szCs w:val="22"/>
              </w:rPr>
            </w:pPr>
            <w:r w:rsidRPr="003D7ABB">
              <w:rPr>
                <w:rFonts w:ascii="Arial" w:hAnsi="Arial" w:cs="Arial"/>
                <w:b/>
                <w:bCs/>
                <w:sz w:val="22"/>
                <w:szCs w:val="22"/>
              </w:rPr>
              <w:t>Total</w:t>
            </w:r>
          </w:p>
          <w:p w:rsidRPr="003D7ABB" w:rsidR="00EC6EBE" w:rsidP="00EC0F4F" w:rsidRDefault="00EC6EBE" w14:paraId="7D04B9B3" w14:textId="77777777">
            <w:pPr>
              <w:ind w:left="177"/>
              <w:rPr>
                <w:rFonts w:ascii="Arial" w:hAnsi="Arial" w:cs="Arial"/>
                <w:b/>
                <w:bCs/>
                <w:sz w:val="22"/>
                <w:szCs w:val="22"/>
              </w:rPr>
            </w:pPr>
          </w:p>
        </w:tc>
        <w:tc>
          <w:tcPr>
            <w:tcW w:w="1713" w:type="dxa"/>
            <w:shd w:val="clear" w:color="auto" w:fill="F79646" w:themeFill="accent6"/>
            <w:tcMar>
              <w:top w:w="0" w:type="dxa"/>
              <w:left w:w="108" w:type="dxa"/>
              <w:bottom w:w="0" w:type="dxa"/>
              <w:right w:w="108" w:type="dxa"/>
            </w:tcMar>
          </w:tcPr>
          <w:p w:rsidRPr="003D7ABB" w:rsidR="00EC6EBE" w:rsidP="00EC0F4F" w:rsidRDefault="00EC6EBE" w14:paraId="3954F7E5" w14:textId="77777777">
            <w:pPr>
              <w:ind w:left="177"/>
              <w:jc w:val="right"/>
              <w:rPr>
                <w:rFonts w:ascii="Arial" w:hAnsi="Arial" w:cs="Arial"/>
                <w:b/>
                <w:bCs/>
                <w:sz w:val="22"/>
                <w:szCs w:val="22"/>
              </w:rPr>
            </w:pPr>
            <w:r>
              <w:rPr>
                <w:rFonts w:ascii="Arial" w:hAnsi="Arial" w:cs="Arial"/>
                <w:b/>
                <w:bCs/>
                <w:sz w:val="22"/>
                <w:szCs w:val="22"/>
              </w:rPr>
              <w:t>40</w:t>
            </w:r>
          </w:p>
        </w:tc>
        <w:tc>
          <w:tcPr>
            <w:tcW w:w="696" w:type="dxa"/>
            <w:shd w:val="clear" w:color="auto" w:fill="F79646" w:themeFill="accent6"/>
            <w:tcMar>
              <w:top w:w="0" w:type="dxa"/>
              <w:left w:w="108" w:type="dxa"/>
              <w:bottom w:w="0" w:type="dxa"/>
              <w:right w:w="108" w:type="dxa"/>
            </w:tcMar>
            <w:hideMark/>
          </w:tcPr>
          <w:p w:rsidRPr="003D7ABB" w:rsidR="00EC6EBE" w:rsidP="00EC0F4F" w:rsidRDefault="00EC6EBE" w14:paraId="0BB6ED60" w14:textId="77777777">
            <w:pPr>
              <w:ind w:left="177"/>
              <w:jc w:val="right"/>
              <w:rPr>
                <w:rFonts w:ascii="Arial" w:hAnsi="Arial" w:cs="Arial"/>
                <w:b/>
                <w:bCs/>
                <w:sz w:val="22"/>
                <w:szCs w:val="22"/>
              </w:rPr>
            </w:pPr>
            <w:r w:rsidRPr="003D7ABB">
              <w:rPr>
                <w:rFonts w:ascii="Arial" w:hAnsi="Arial" w:cs="Arial"/>
                <w:b/>
                <w:bCs/>
                <w:sz w:val="22"/>
                <w:szCs w:val="22"/>
              </w:rPr>
              <w:t>100</w:t>
            </w:r>
          </w:p>
        </w:tc>
      </w:tr>
    </w:tbl>
    <w:p w:rsidR="00D143CA" w:rsidRDefault="00D143CA" w14:paraId="256088DB" w14:textId="79113465">
      <w:pPr>
        <w:spacing w:after="200" w:line="276" w:lineRule="auto"/>
      </w:pPr>
      <w:r>
        <w:br w:type="page"/>
      </w:r>
    </w:p>
    <w:p w:rsidRPr="008F718E" w:rsidR="000549A9" w:rsidP="00525CD6" w:rsidRDefault="003F7348" w14:paraId="036F0E75" w14:textId="77777777">
      <w:pPr>
        <w:pStyle w:val="Heading1"/>
      </w:pPr>
      <w:r w:rsidRPr="008F718E">
        <w:lastRenderedPageBreak/>
        <w:t>2</w:t>
      </w:r>
      <w:r w:rsidRPr="008F718E">
        <w:tab/>
      </w:r>
      <w:bookmarkEnd w:id="0"/>
      <w:r w:rsidRPr="008F718E" w:rsidR="00E42E85">
        <w:t>Specification</w:t>
      </w:r>
    </w:p>
    <w:p w:rsidRPr="006C6383" w:rsidR="006C6383" w:rsidP="006C6383" w:rsidRDefault="006C6383" w14:paraId="568A4A43" w14:textId="77777777"/>
    <w:p w:rsidR="00FE05B1" w:rsidP="00065E39" w:rsidRDefault="00065E39" w14:paraId="6FA53A93" w14:textId="27B2F6B9">
      <w:pPr>
        <w:pStyle w:val="BodyText3"/>
        <w:jc w:val="left"/>
        <w:rPr>
          <w:rFonts w:cs="Arial"/>
          <w:b/>
          <w:sz w:val="24"/>
          <w:szCs w:val="24"/>
        </w:rPr>
      </w:pPr>
      <w:r w:rsidRPr="00065E39">
        <w:rPr>
          <w:rFonts w:cs="Arial"/>
          <w:b/>
          <w:sz w:val="24"/>
          <w:szCs w:val="24"/>
        </w:rPr>
        <w:t>2.1</w:t>
      </w:r>
      <w:r w:rsidRPr="00065E39">
        <w:rPr>
          <w:rFonts w:cs="Arial"/>
          <w:b/>
          <w:sz w:val="24"/>
          <w:szCs w:val="24"/>
        </w:rPr>
        <w:tab/>
      </w:r>
      <w:r w:rsidR="00FD1AD8">
        <w:rPr>
          <w:rFonts w:cs="Arial"/>
          <w:b/>
          <w:sz w:val="24"/>
          <w:szCs w:val="24"/>
        </w:rPr>
        <w:t>Introduction</w:t>
      </w:r>
    </w:p>
    <w:p w:rsidRPr="00065E39" w:rsidR="00FE05B1" w:rsidP="00065E39" w:rsidRDefault="00FE05B1" w14:paraId="00706DD3" w14:textId="77777777">
      <w:pPr>
        <w:pStyle w:val="BodyText3"/>
        <w:jc w:val="left"/>
        <w:rPr>
          <w:rFonts w:cs="Arial"/>
          <w:b/>
          <w:sz w:val="24"/>
          <w:szCs w:val="24"/>
        </w:rPr>
      </w:pPr>
    </w:p>
    <w:p w:rsidRPr="00DC3761" w:rsidR="00386F91" w:rsidP="00264087" w:rsidRDefault="00386F91" w14:paraId="7EBE0FED" w14:textId="4786E746">
      <w:pPr>
        <w:ind w:left="720"/>
        <w:jc w:val="both"/>
        <w:rPr>
          <w:rFonts w:ascii="Arial" w:hAnsi="Arial" w:cs="Arial"/>
        </w:rPr>
      </w:pPr>
      <w:r w:rsidRPr="00DC3761">
        <w:rPr>
          <w:rFonts w:ascii="Arial" w:hAnsi="Arial" w:cs="Arial"/>
        </w:rPr>
        <w:t>Nottingham City and Nottinghamshire Violence Reduction Unit (NNVR</w:t>
      </w:r>
      <w:r w:rsidR="008E6137">
        <w:rPr>
          <w:rFonts w:ascii="Arial" w:hAnsi="Arial" w:cs="Arial"/>
        </w:rPr>
        <w:t>P</w:t>
      </w:r>
      <w:r w:rsidRPr="00DC3761">
        <w:rPr>
          <w:rFonts w:ascii="Arial" w:hAnsi="Arial" w:cs="Arial"/>
        </w:rPr>
        <w:t>) is a partnership bringing together specialists from Local Government, Health, Education, Policing and Criminal Justice to work with communities and the third sector to reduce serious violence and tackle its underlying causes. We are committed to ensuring that our work will be underpinned by evidence of what works, expanding that evidence base and creating new evidence where none currently exist.</w:t>
      </w:r>
    </w:p>
    <w:p w:rsidRPr="00DC3761" w:rsidR="00386F91" w:rsidP="00264087" w:rsidRDefault="00386F91" w14:paraId="5C75F162" w14:textId="77777777">
      <w:pPr>
        <w:jc w:val="both"/>
        <w:rPr>
          <w:rFonts w:ascii="Arial" w:hAnsi="Arial" w:cs="Arial"/>
        </w:rPr>
      </w:pPr>
    </w:p>
    <w:p w:rsidR="00386F91" w:rsidP="00264087" w:rsidRDefault="00386F91" w14:paraId="33BA17F1" w14:textId="5A1C5ECD">
      <w:pPr>
        <w:ind w:left="720"/>
        <w:jc w:val="both"/>
        <w:rPr>
          <w:rFonts w:ascii="Arial" w:hAnsi="Arial" w:cs="Arial"/>
        </w:rPr>
      </w:pPr>
      <w:r w:rsidRPr="00DC3761">
        <w:rPr>
          <w:rFonts w:ascii="Arial" w:hAnsi="Arial" w:cs="Arial"/>
        </w:rPr>
        <w:t>NNVR</w:t>
      </w:r>
      <w:r w:rsidR="008E6137">
        <w:rPr>
          <w:rFonts w:ascii="Arial" w:hAnsi="Arial" w:cs="Arial"/>
        </w:rPr>
        <w:t>P</w:t>
      </w:r>
      <w:r w:rsidRPr="00DC3761">
        <w:rPr>
          <w:rFonts w:ascii="Arial" w:hAnsi="Arial" w:cs="Arial"/>
        </w:rPr>
        <w:t xml:space="preserve"> takes a public health approach to reducing violent crime, focusing on what will make a difference to whole populations, </w:t>
      </w:r>
      <w:proofErr w:type="gramStart"/>
      <w:r w:rsidRPr="00DC3761">
        <w:rPr>
          <w:rFonts w:ascii="Arial" w:hAnsi="Arial" w:cs="Arial"/>
        </w:rPr>
        <w:t>communities</w:t>
      </w:r>
      <w:proofErr w:type="gramEnd"/>
      <w:r w:rsidRPr="00DC3761">
        <w:rPr>
          <w:rFonts w:ascii="Arial" w:hAnsi="Arial" w:cs="Arial"/>
        </w:rPr>
        <w:t xml:space="preserve"> and groups. In practice this means we look beyond the statistics about incidents of crime and its causes to research and evidence that explains why people behave in certain ways and what contributes to this behaviour. For NNVR</w:t>
      </w:r>
      <w:r w:rsidR="008E6137">
        <w:rPr>
          <w:rFonts w:ascii="Arial" w:hAnsi="Arial" w:cs="Arial"/>
        </w:rPr>
        <w:t>P</w:t>
      </w:r>
      <w:r w:rsidRPr="00DC3761">
        <w:rPr>
          <w:rFonts w:ascii="Arial" w:hAnsi="Arial" w:cs="Arial"/>
        </w:rPr>
        <w:t xml:space="preserve">, a public heath approach means intervening through education and policy change before violence has </w:t>
      </w:r>
      <w:r w:rsidR="0023107D">
        <w:rPr>
          <w:rFonts w:ascii="Arial" w:hAnsi="Arial" w:cs="Arial"/>
        </w:rPr>
        <w:t xml:space="preserve">a </w:t>
      </w:r>
      <w:r w:rsidRPr="00DC3761">
        <w:rPr>
          <w:rFonts w:ascii="Arial" w:hAnsi="Arial" w:cs="Arial"/>
        </w:rPr>
        <w:t>chance to take hold, much in the same way as other population level health issues. These interventions are aimed at building community resilience to violent crime and changing social norms, using local intelligence to interrupt the transmission of violence by analysing where it may occur and intervening with those at higher risk.</w:t>
      </w:r>
    </w:p>
    <w:p w:rsidR="009428FB" w:rsidP="00386F91" w:rsidRDefault="009428FB" w14:paraId="04561F82" w14:textId="2874C3EC">
      <w:pPr>
        <w:ind w:left="720"/>
        <w:rPr>
          <w:rFonts w:ascii="Arial" w:hAnsi="Arial" w:cs="Arial"/>
        </w:rPr>
      </w:pPr>
    </w:p>
    <w:p w:rsidR="00537D69" w:rsidP="00386F91" w:rsidRDefault="00537D69" w14:paraId="4DE58E70" w14:textId="1050EF47">
      <w:pPr>
        <w:ind w:left="720"/>
        <w:rPr>
          <w:rFonts w:ascii="Arial" w:hAnsi="Arial" w:cs="Arial"/>
        </w:rPr>
      </w:pPr>
    </w:p>
    <w:p w:rsidR="00537D69" w:rsidP="00537D69" w:rsidRDefault="00537D69" w14:paraId="0BD81848" w14:textId="0EB3E7AA">
      <w:pPr>
        <w:pStyle w:val="BodyText3"/>
        <w:jc w:val="left"/>
        <w:rPr>
          <w:rFonts w:cs="Arial"/>
          <w:b/>
          <w:sz w:val="24"/>
          <w:szCs w:val="24"/>
        </w:rPr>
      </w:pPr>
      <w:r>
        <w:rPr>
          <w:rFonts w:cs="Arial"/>
          <w:b/>
          <w:sz w:val="24"/>
          <w:szCs w:val="24"/>
        </w:rPr>
        <w:t>2.2</w:t>
      </w:r>
      <w:r w:rsidRPr="00065E39">
        <w:rPr>
          <w:rFonts w:cs="Arial"/>
          <w:b/>
          <w:sz w:val="24"/>
          <w:szCs w:val="24"/>
        </w:rPr>
        <w:tab/>
      </w:r>
      <w:r w:rsidR="00FD1AD8">
        <w:rPr>
          <w:rFonts w:cs="Arial"/>
          <w:b/>
          <w:sz w:val="24"/>
          <w:szCs w:val="24"/>
        </w:rPr>
        <w:t>Background</w:t>
      </w:r>
    </w:p>
    <w:p w:rsidR="00FE05B1" w:rsidP="00537D69" w:rsidRDefault="00264087" w14:paraId="534404C1" w14:textId="5E7EF542">
      <w:pPr>
        <w:pStyle w:val="BodyText3"/>
        <w:jc w:val="left"/>
        <w:rPr>
          <w:rFonts w:cs="Arial"/>
          <w:bCs/>
          <w:sz w:val="24"/>
          <w:szCs w:val="24"/>
        </w:rPr>
      </w:pPr>
      <w:r>
        <w:rPr>
          <w:rFonts w:cs="Arial"/>
          <w:b/>
          <w:sz w:val="24"/>
          <w:szCs w:val="24"/>
        </w:rPr>
        <w:tab/>
      </w:r>
    </w:p>
    <w:p w:rsidR="00AD30E7" w:rsidP="0057034B" w:rsidRDefault="00AD30E7" w14:paraId="1F9ECF29" w14:textId="3E7BA5B1">
      <w:pPr>
        <w:pStyle w:val="BodyText3"/>
        <w:ind w:left="709"/>
        <w:rPr>
          <w:rFonts w:cs="Arial"/>
          <w:bCs/>
          <w:sz w:val="24"/>
          <w:szCs w:val="24"/>
        </w:rPr>
      </w:pPr>
      <w:r>
        <w:rPr>
          <w:rFonts w:cs="Arial"/>
          <w:bCs/>
          <w:sz w:val="24"/>
          <w:szCs w:val="24"/>
        </w:rPr>
        <w:t xml:space="preserve">The NNVRP completed a </w:t>
      </w:r>
      <w:r w:rsidR="0057034B">
        <w:rPr>
          <w:rFonts w:cs="Arial"/>
          <w:bCs/>
          <w:sz w:val="24"/>
          <w:szCs w:val="24"/>
        </w:rPr>
        <w:t xml:space="preserve">Strategic Needs Assessment in March 2023 that gave us a comprehensive overview of violence in Nottingham and Nottinghamshire. As part of our Response Strategy, we wish to explore </w:t>
      </w:r>
      <w:r w:rsidRPr="00AD30E7">
        <w:rPr>
          <w:rFonts w:cs="Arial"/>
          <w:bCs/>
          <w:sz w:val="24"/>
          <w:szCs w:val="24"/>
        </w:rPr>
        <w:t xml:space="preserve">the comparatively high rate of first-time entrants </w:t>
      </w:r>
      <w:r w:rsidR="0057034B">
        <w:rPr>
          <w:rFonts w:cs="Arial"/>
          <w:bCs/>
          <w:sz w:val="24"/>
          <w:szCs w:val="24"/>
        </w:rPr>
        <w:t xml:space="preserve">(FTEs) </w:t>
      </w:r>
      <w:r w:rsidRPr="00AD30E7">
        <w:rPr>
          <w:rFonts w:cs="Arial"/>
          <w:bCs/>
          <w:sz w:val="24"/>
          <w:szCs w:val="24"/>
        </w:rPr>
        <w:t xml:space="preserve">into the </w:t>
      </w:r>
      <w:r w:rsidR="0057034B">
        <w:rPr>
          <w:rFonts w:cs="Arial"/>
          <w:bCs/>
          <w:sz w:val="24"/>
          <w:szCs w:val="24"/>
        </w:rPr>
        <w:t>C</w:t>
      </w:r>
      <w:r w:rsidRPr="00AD30E7">
        <w:rPr>
          <w:rFonts w:cs="Arial"/>
          <w:bCs/>
          <w:sz w:val="24"/>
          <w:szCs w:val="24"/>
        </w:rPr>
        <w:t xml:space="preserve">riminal </w:t>
      </w:r>
      <w:r w:rsidR="0057034B">
        <w:rPr>
          <w:rFonts w:cs="Arial"/>
          <w:bCs/>
          <w:sz w:val="24"/>
          <w:szCs w:val="24"/>
        </w:rPr>
        <w:t>J</w:t>
      </w:r>
      <w:r w:rsidRPr="00AD30E7">
        <w:rPr>
          <w:rFonts w:cs="Arial"/>
          <w:bCs/>
          <w:sz w:val="24"/>
          <w:szCs w:val="24"/>
        </w:rPr>
        <w:t xml:space="preserve">ustice </w:t>
      </w:r>
      <w:r w:rsidR="0057034B">
        <w:rPr>
          <w:rFonts w:cs="Arial"/>
          <w:bCs/>
          <w:sz w:val="24"/>
          <w:szCs w:val="24"/>
        </w:rPr>
        <w:t>S</w:t>
      </w:r>
      <w:r w:rsidRPr="00AD30E7">
        <w:rPr>
          <w:rFonts w:cs="Arial"/>
          <w:bCs/>
          <w:sz w:val="24"/>
          <w:szCs w:val="24"/>
        </w:rPr>
        <w:t xml:space="preserve">ystem </w:t>
      </w:r>
      <w:r w:rsidR="0057034B">
        <w:rPr>
          <w:rFonts w:cs="Arial"/>
          <w:bCs/>
          <w:sz w:val="24"/>
          <w:szCs w:val="24"/>
        </w:rPr>
        <w:t xml:space="preserve">(CJS) </w:t>
      </w:r>
      <w:r w:rsidRPr="00AD30E7">
        <w:rPr>
          <w:rFonts w:cs="Arial"/>
          <w:bCs/>
          <w:sz w:val="24"/>
          <w:szCs w:val="24"/>
        </w:rPr>
        <w:t>for children (aged 10 to 17)</w:t>
      </w:r>
      <w:r w:rsidR="0057034B">
        <w:rPr>
          <w:rFonts w:cs="Arial"/>
          <w:bCs/>
          <w:sz w:val="24"/>
          <w:szCs w:val="24"/>
        </w:rPr>
        <w:t xml:space="preserve">. </w:t>
      </w:r>
      <w:hyperlink w:history="1" r:id="rId11">
        <w:r w:rsidRPr="0057034B" w:rsidR="0057034B">
          <w:rPr>
            <w:rStyle w:val="Hyperlink"/>
            <w:rFonts w:cs="Arial"/>
            <w:bCs/>
            <w:sz w:val="24"/>
            <w:szCs w:val="24"/>
          </w:rPr>
          <w:t>Information | Violence Reduction Unit (nottsvrp.co.uk)</w:t>
        </w:r>
      </w:hyperlink>
    </w:p>
    <w:p w:rsidR="00AD30E7" w:rsidP="00264087" w:rsidRDefault="00AD30E7" w14:paraId="443BA282" w14:textId="77777777">
      <w:pPr>
        <w:pStyle w:val="BodyText3"/>
        <w:ind w:left="709"/>
        <w:rPr>
          <w:rFonts w:cs="Arial"/>
          <w:bCs/>
          <w:sz w:val="24"/>
          <w:szCs w:val="24"/>
        </w:rPr>
      </w:pPr>
    </w:p>
    <w:p w:rsidR="004B62A8" w:rsidP="00264087" w:rsidRDefault="00264087" w14:paraId="1CF9E042" w14:textId="2A7E2419">
      <w:pPr>
        <w:pStyle w:val="BodyText3"/>
        <w:ind w:left="709"/>
        <w:rPr>
          <w:rFonts w:cs="Arial"/>
          <w:bCs/>
          <w:sz w:val="24"/>
          <w:szCs w:val="24"/>
        </w:rPr>
      </w:pPr>
      <w:r w:rsidRPr="00264087">
        <w:rPr>
          <w:rFonts w:cs="Arial"/>
          <w:bCs/>
          <w:sz w:val="24"/>
          <w:szCs w:val="24"/>
        </w:rPr>
        <w:t>Nottingham City has the highest rate of First Time Entrants</w:t>
      </w:r>
      <w:r w:rsidR="004B62A8">
        <w:rPr>
          <w:rFonts w:cs="Arial"/>
          <w:bCs/>
          <w:sz w:val="24"/>
          <w:szCs w:val="24"/>
        </w:rPr>
        <w:t xml:space="preserve"> (FTEs)</w:t>
      </w:r>
      <w:r w:rsidRPr="00264087">
        <w:rPr>
          <w:rFonts w:cs="Arial"/>
          <w:bCs/>
          <w:sz w:val="24"/>
          <w:szCs w:val="24"/>
        </w:rPr>
        <w:t xml:space="preserve"> in the country, between Oct 21 and Sept 22 we had 486 per 100,000 children, the national average being 146 per 100,000 children. </w:t>
      </w:r>
    </w:p>
    <w:p w:rsidR="004B62A8" w:rsidP="00264087" w:rsidRDefault="004B62A8" w14:paraId="283C8415" w14:textId="77777777">
      <w:pPr>
        <w:pStyle w:val="BodyText3"/>
        <w:ind w:left="709"/>
        <w:rPr>
          <w:rFonts w:cs="Arial"/>
          <w:bCs/>
          <w:sz w:val="24"/>
          <w:szCs w:val="24"/>
        </w:rPr>
      </w:pPr>
    </w:p>
    <w:p w:rsidRPr="00264087" w:rsidR="00264087" w:rsidP="004B62A8" w:rsidRDefault="00264087" w14:paraId="2C2A18A0" w14:textId="56EDC0EC">
      <w:pPr>
        <w:pStyle w:val="BodyText3"/>
        <w:ind w:left="709"/>
        <w:rPr>
          <w:rFonts w:cs="Arial"/>
          <w:bCs/>
          <w:sz w:val="24"/>
          <w:szCs w:val="24"/>
        </w:rPr>
      </w:pPr>
      <w:r w:rsidRPr="00264087">
        <w:rPr>
          <w:rFonts w:cs="Arial"/>
          <w:bCs/>
          <w:sz w:val="24"/>
          <w:szCs w:val="24"/>
        </w:rPr>
        <w:t xml:space="preserve">The negative impact upon children entering the Youth Justice System </w:t>
      </w:r>
      <w:r w:rsidR="004B62A8">
        <w:rPr>
          <w:rFonts w:cs="Arial"/>
          <w:bCs/>
          <w:sz w:val="24"/>
          <w:szCs w:val="24"/>
        </w:rPr>
        <w:t xml:space="preserve">(YJS) </w:t>
      </w:r>
      <w:r w:rsidRPr="00264087">
        <w:rPr>
          <w:rFonts w:cs="Arial"/>
          <w:bCs/>
          <w:sz w:val="24"/>
          <w:szCs w:val="24"/>
        </w:rPr>
        <w:t>can be felt for years to come for the individual.</w:t>
      </w:r>
      <w:r w:rsidR="004B62A8">
        <w:rPr>
          <w:rFonts w:cs="Arial"/>
          <w:bCs/>
          <w:sz w:val="24"/>
          <w:szCs w:val="24"/>
        </w:rPr>
        <w:t xml:space="preserve">  </w:t>
      </w:r>
      <w:r w:rsidRPr="00264087">
        <w:rPr>
          <w:rFonts w:cs="Arial"/>
          <w:bCs/>
          <w:sz w:val="24"/>
          <w:szCs w:val="24"/>
        </w:rPr>
        <w:t>It can contribute to increased school exclusions leading to future employment challenges, increased mental health problems, the stigma of a criminal record and other life limiting opportunities.</w:t>
      </w:r>
    </w:p>
    <w:p w:rsidRPr="00264087" w:rsidR="00264087" w:rsidP="00264087" w:rsidRDefault="00264087" w14:paraId="65FF7D6D" w14:textId="77777777">
      <w:pPr>
        <w:pStyle w:val="BodyText3"/>
        <w:ind w:left="709"/>
        <w:rPr>
          <w:rFonts w:cs="Arial"/>
          <w:bCs/>
          <w:sz w:val="24"/>
          <w:szCs w:val="24"/>
        </w:rPr>
      </w:pPr>
    </w:p>
    <w:p w:rsidRPr="00264087" w:rsidR="00264087" w:rsidP="00264087" w:rsidRDefault="00264087" w14:paraId="157BAD7F" w14:textId="77777777">
      <w:pPr>
        <w:pStyle w:val="BodyText3"/>
        <w:ind w:left="709"/>
        <w:rPr>
          <w:rFonts w:cs="Arial"/>
          <w:bCs/>
          <w:sz w:val="24"/>
          <w:szCs w:val="24"/>
        </w:rPr>
      </w:pPr>
      <w:r w:rsidRPr="00264087">
        <w:rPr>
          <w:rFonts w:cs="Arial"/>
          <w:bCs/>
          <w:sz w:val="24"/>
          <w:szCs w:val="24"/>
        </w:rPr>
        <w:t xml:space="preserve">The cost not only to the child and their families of entering the YJS is felt across the city, through the cost of resources targeted at supporting the child, families, victims, and communities and the reputational damage to the city as one of being a high crime area. </w:t>
      </w:r>
    </w:p>
    <w:p w:rsidRPr="00264087" w:rsidR="00264087" w:rsidP="00264087" w:rsidRDefault="00264087" w14:paraId="44BB8E05" w14:textId="77777777">
      <w:pPr>
        <w:pStyle w:val="BodyText3"/>
        <w:ind w:left="709"/>
        <w:rPr>
          <w:rFonts w:cs="Arial"/>
          <w:bCs/>
          <w:sz w:val="24"/>
          <w:szCs w:val="24"/>
        </w:rPr>
      </w:pPr>
    </w:p>
    <w:p w:rsidRPr="00264087" w:rsidR="00264087" w:rsidP="00264087" w:rsidRDefault="00264087" w14:paraId="6A442816" w14:textId="5EC353F3">
      <w:pPr>
        <w:pStyle w:val="BodyText3"/>
        <w:ind w:left="709"/>
        <w:rPr>
          <w:rFonts w:cs="Arial"/>
          <w:bCs/>
          <w:sz w:val="24"/>
          <w:szCs w:val="24"/>
        </w:rPr>
      </w:pPr>
      <w:r w:rsidRPr="00264087">
        <w:rPr>
          <w:rFonts w:cs="Arial"/>
          <w:bCs/>
          <w:sz w:val="24"/>
          <w:szCs w:val="24"/>
        </w:rPr>
        <w:t>Rather than disposals through court, numerous programme types in Nottingham and Nottinghamshire relate to preventative and diversionary disposals – community resolutions, youth conditional cautions and outcomes 20, 21 and 22. These may be seen to pr</w:t>
      </w:r>
      <w:r w:rsidR="004B62A8">
        <w:rPr>
          <w:rFonts w:cs="Arial"/>
          <w:bCs/>
          <w:sz w:val="24"/>
          <w:szCs w:val="24"/>
        </w:rPr>
        <w:t>e</w:t>
      </w:r>
      <w:r w:rsidRPr="00264087">
        <w:rPr>
          <w:rFonts w:cs="Arial"/>
          <w:bCs/>
          <w:sz w:val="24"/>
          <w:szCs w:val="24"/>
        </w:rPr>
        <w:t>ce</w:t>
      </w:r>
      <w:r w:rsidR="004B62A8">
        <w:rPr>
          <w:rFonts w:cs="Arial"/>
          <w:bCs/>
          <w:sz w:val="24"/>
          <w:szCs w:val="24"/>
        </w:rPr>
        <w:t>de</w:t>
      </w:r>
      <w:r w:rsidRPr="00264087">
        <w:rPr>
          <w:rFonts w:cs="Arial"/>
          <w:bCs/>
          <w:sz w:val="24"/>
          <w:szCs w:val="24"/>
        </w:rPr>
        <w:t xml:space="preserve"> a child becoming an FTE in terms of their progression into the justice system. </w:t>
      </w:r>
    </w:p>
    <w:p w:rsidRPr="00264087" w:rsidR="00264087" w:rsidP="00264087" w:rsidRDefault="00264087" w14:paraId="53C2BEC4" w14:textId="77777777">
      <w:pPr>
        <w:pStyle w:val="BodyText3"/>
        <w:ind w:left="709"/>
        <w:rPr>
          <w:rFonts w:cs="Arial"/>
          <w:bCs/>
          <w:sz w:val="24"/>
          <w:szCs w:val="24"/>
        </w:rPr>
      </w:pPr>
    </w:p>
    <w:p w:rsidR="00264087" w:rsidP="00264087" w:rsidRDefault="00264087" w14:paraId="711D38D2" w14:textId="2D63CB8F">
      <w:pPr>
        <w:pStyle w:val="BodyText3"/>
        <w:ind w:left="709"/>
        <w:rPr>
          <w:rFonts w:cs="Arial"/>
          <w:bCs/>
          <w:sz w:val="24"/>
          <w:szCs w:val="24"/>
        </w:rPr>
      </w:pPr>
      <w:r w:rsidRPr="00264087">
        <w:rPr>
          <w:rFonts w:cs="Arial"/>
          <w:bCs/>
          <w:sz w:val="24"/>
          <w:szCs w:val="24"/>
        </w:rPr>
        <w:lastRenderedPageBreak/>
        <w:t xml:space="preserve">Whilst the number of </w:t>
      </w:r>
      <w:r w:rsidR="004B62A8">
        <w:rPr>
          <w:rFonts w:cs="Arial"/>
          <w:bCs/>
          <w:sz w:val="24"/>
          <w:szCs w:val="24"/>
        </w:rPr>
        <w:t>FTEs</w:t>
      </w:r>
      <w:r w:rsidRPr="00264087">
        <w:rPr>
          <w:rFonts w:cs="Arial"/>
          <w:bCs/>
          <w:sz w:val="24"/>
          <w:szCs w:val="24"/>
        </w:rPr>
        <w:t xml:space="preserve"> to the </w:t>
      </w:r>
      <w:r w:rsidR="004B62A8">
        <w:rPr>
          <w:rFonts w:cs="Arial"/>
          <w:bCs/>
          <w:sz w:val="24"/>
          <w:szCs w:val="24"/>
        </w:rPr>
        <w:t>YJS</w:t>
      </w:r>
      <w:r w:rsidRPr="00264087">
        <w:rPr>
          <w:rFonts w:cs="Arial"/>
          <w:bCs/>
          <w:sz w:val="24"/>
          <w:szCs w:val="24"/>
        </w:rPr>
        <w:t xml:space="preserve"> has decreased substantially over the past ten years, Nottingham City continues to be a national outlier in reference to the high number of FTEs. The contributory factors to high numbers of FTEs in Nottingham have not been comprehensively identified and described and whilst it is widely acknowledged across the partnership that while professionals have a range of theories as to why this may be the case, little is known evidentially.</w:t>
      </w:r>
    </w:p>
    <w:p w:rsidRPr="00264087" w:rsidR="00264087" w:rsidP="00264087" w:rsidRDefault="00264087" w14:paraId="717A285B" w14:textId="77777777">
      <w:pPr>
        <w:pStyle w:val="BodyText3"/>
        <w:ind w:left="709"/>
        <w:rPr>
          <w:rFonts w:cs="Arial"/>
          <w:bCs/>
          <w:sz w:val="24"/>
          <w:szCs w:val="24"/>
        </w:rPr>
      </w:pPr>
    </w:p>
    <w:p w:rsidR="00264087" w:rsidP="00264087" w:rsidRDefault="00264087" w14:paraId="4793C4F6" w14:textId="623208AA">
      <w:pPr>
        <w:pStyle w:val="BodyText3"/>
        <w:ind w:left="709"/>
        <w:rPr>
          <w:rFonts w:cs="Arial"/>
          <w:bCs/>
          <w:sz w:val="24"/>
          <w:szCs w:val="24"/>
        </w:rPr>
      </w:pPr>
      <w:r w:rsidRPr="00264087">
        <w:rPr>
          <w:rFonts w:cs="Arial"/>
          <w:bCs/>
          <w:sz w:val="24"/>
          <w:szCs w:val="24"/>
        </w:rPr>
        <w:t>Nottinghamshire County has a rate of 141 per 100'000 of the population. This is within the national average however Nottinghamshire's performance has plateaued, where statistical neighbours continued to see a decrease. </w:t>
      </w:r>
    </w:p>
    <w:p w:rsidR="00264087" w:rsidP="00264087" w:rsidRDefault="00264087" w14:paraId="34835A2B" w14:textId="2E26F97E">
      <w:pPr>
        <w:pStyle w:val="BodyText3"/>
        <w:ind w:left="709"/>
        <w:rPr>
          <w:rFonts w:cs="Arial"/>
          <w:bCs/>
          <w:sz w:val="24"/>
          <w:szCs w:val="24"/>
        </w:rPr>
      </w:pPr>
    </w:p>
    <w:tbl>
      <w:tblPr>
        <w:tblW w:w="9860" w:type="dxa"/>
        <w:tblLook w:val="04A0" w:firstRow="1" w:lastRow="0" w:firstColumn="1" w:lastColumn="0" w:noHBand="0" w:noVBand="1"/>
      </w:tblPr>
      <w:tblGrid>
        <w:gridCol w:w="9860"/>
      </w:tblGrid>
      <w:tr w:rsidRPr="009F7440" w:rsidR="00264087" w:rsidTr="00044394" w14:paraId="65948300" w14:textId="77777777">
        <w:trPr>
          <w:trHeight w:val="300"/>
        </w:trPr>
        <w:tc>
          <w:tcPr>
            <w:tcW w:w="9860" w:type="dxa"/>
            <w:tcBorders>
              <w:top w:val="nil"/>
              <w:left w:val="nil"/>
              <w:bottom w:val="nil"/>
              <w:right w:val="nil"/>
            </w:tcBorders>
            <w:shd w:val="clear" w:color="auto" w:fill="auto"/>
            <w:noWrap/>
            <w:vAlign w:val="bottom"/>
            <w:hideMark/>
          </w:tcPr>
          <w:p w:rsidRPr="009F7440" w:rsidR="00264087" w:rsidP="00044394" w:rsidRDefault="00264087" w14:paraId="32D662AE" w14:textId="77777777">
            <w:pPr>
              <w:jc w:val="center"/>
              <w:rPr>
                <w:rFonts w:ascii="Calibri" w:hAnsi="Calibri" w:cs="Calibri"/>
                <w:b/>
                <w:bCs/>
                <w:color w:val="000000"/>
                <w:lang w:eastAsia="en-GB"/>
              </w:rPr>
            </w:pPr>
            <w:r w:rsidRPr="009F7440">
              <w:rPr>
                <w:rFonts w:ascii="Calibri" w:hAnsi="Calibri" w:cs="Calibri"/>
                <w:b/>
                <w:bCs/>
                <w:color w:val="000000"/>
                <w:lang w:eastAsia="en-GB"/>
              </w:rPr>
              <w:t>FTE rate per 100,000 of 10-17 Population</w:t>
            </w:r>
          </w:p>
        </w:tc>
      </w:tr>
    </w:tbl>
    <w:p w:rsidRPr="00264087" w:rsidR="00264087" w:rsidP="00264087" w:rsidRDefault="00264087" w14:paraId="283E1065" w14:textId="77777777">
      <w:pPr>
        <w:pStyle w:val="BodyText3"/>
        <w:ind w:left="709"/>
        <w:rPr>
          <w:rFonts w:cs="Arial"/>
          <w:bCs/>
          <w:sz w:val="24"/>
          <w:szCs w:val="24"/>
        </w:rPr>
      </w:pPr>
    </w:p>
    <w:p w:rsidR="00537D69" w:rsidP="00264087" w:rsidRDefault="00264087" w14:paraId="6BF12554" w14:textId="404CA376">
      <w:pPr>
        <w:ind w:left="709"/>
        <w:rPr>
          <w:rFonts w:ascii="Arial" w:hAnsi="Arial" w:cs="Arial"/>
        </w:rPr>
      </w:pPr>
      <w:r>
        <w:rPr>
          <w:rFonts w:ascii="Arial" w:hAnsi="Arial" w:cs="Arial"/>
          <w:noProof/>
        </w:rPr>
        <w:drawing>
          <wp:inline distT="0" distB="0" distL="0" distR="0" wp14:anchorId="727ECE74" wp14:editId="2597816B">
            <wp:extent cx="5730875" cy="82931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829310"/>
                    </a:xfrm>
                    <a:prstGeom prst="rect">
                      <a:avLst/>
                    </a:prstGeom>
                    <a:noFill/>
                  </pic:spPr>
                </pic:pic>
              </a:graphicData>
            </a:graphic>
          </wp:inline>
        </w:drawing>
      </w:r>
    </w:p>
    <w:p w:rsidR="00264087" w:rsidP="00264087" w:rsidRDefault="00264087" w14:paraId="3122620D" w14:textId="314AF348">
      <w:pPr>
        <w:rPr>
          <w:rFonts w:asciiTheme="minorHAnsi" w:hAnsiTheme="minorHAnsi" w:eastAsiaTheme="minorHAnsi" w:cstheme="minorHAnsi"/>
        </w:rPr>
      </w:pPr>
      <w:r w:rsidRPr="00264087">
        <w:rPr>
          <w:rFonts w:ascii="Arial" w:hAnsi="Arial" w:cs="Arial"/>
        </w:rPr>
        <w:tab/>
      </w:r>
      <w:hyperlink w:history="1" r:id="rId13">
        <w:r w:rsidRPr="00AB1812">
          <w:rPr>
            <w:rStyle w:val="Hyperlink"/>
            <w:rFonts w:asciiTheme="minorHAnsi" w:hAnsiTheme="minorHAnsi" w:eastAsiaTheme="minorHAnsi" w:cstheme="minorHAnsi"/>
          </w:rPr>
          <w:t>https://lginform.local.gov.uk/</w:t>
        </w:r>
      </w:hyperlink>
    </w:p>
    <w:p w:rsidR="00FD1AD8" w:rsidP="00537D69" w:rsidRDefault="00FD1AD8" w14:paraId="5722F657" w14:textId="0F18643E">
      <w:pPr>
        <w:rPr>
          <w:rFonts w:ascii="Arial" w:hAnsi="Arial" w:cs="Arial"/>
          <w:highlight w:val="magenta"/>
        </w:rPr>
      </w:pPr>
    </w:p>
    <w:p w:rsidR="00264087" w:rsidP="00537D69" w:rsidRDefault="00264087" w14:paraId="3D130DB6" w14:textId="77777777">
      <w:pPr>
        <w:rPr>
          <w:rFonts w:ascii="Arial" w:hAnsi="Arial" w:cs="Arial"/>
          <w:highlight w:val="magenta"/>
        </w:rPr>
      </w:pPr>
    </w:p>
    <w:p w:rsidRPr="00264087" w:rsidR="00537D69" w:rsidP="00264087" w:rsidRDefault="00264087" w14:paraId="79C0842C" w14:textId="4D766A21">
      <w:pPr>
        <w:rPr>
          <w:rFonts w:ascii="Arial" w:hAnsi="Arial" w:cs="Arial"/>
          <w:b/>
        </w:rPr>
      </w:pPr>
      <w:r w:rsidRPr="00264087">
        <w:rPr>
          <w:rFonts w:ascii="Arial" w:hAnsi="Arial" w:cs="Arial"/>
          <w:b/>
        </w:rPr>
        <w:t>2.3</w:t>
      </w:r>
      <w:r w:rsidRPr="00264087">
        <w:rPr>
          <w:rFonts w:ascii="Arial" w:hAnsi="Arial" w:cs="Arial"/>
          <w:b/>
        </w:rPr>
        <w:tab/>
      </w:r>
      <w:r w:rsidRPr="00264087" w:rsidR="00FD1AD8">
        <w:rPr>
          <w:rFonts w:ascii="Arial" w:hAnsi="Arial" w:cs="Arial"/>
          <w:b/>
        </w:rPr>
        <w:t>Research s</w:t>
      </w:r>
      <w:r w:rsidRPr="00264087">
        <w:rPr>
          <w:rFonts w:ascii="Arial" w:hAnsi="Arial" w:cs="Arial"/>
          <w:b/>
        </w:rPr>
        <w:t>cope</w:t>
      </w:r>
    </w:p>
    <w:p w:rsidR="00264087" w:rsidP="00264087" w:rsidRDefault="00264087" w14:paraId="61AC24E7" w14:textId="4C520739">
      <w:pPr>
        <w:pStyle w:val="ListParagraph"/>
        <w:numPr>
          <w:ilvl w:val="0"/>
          <w:numId w:val="0"/>
        </w:numPr>
        <w:ind w:left="720"/>
        <w:rPr>
          <w:bCs/>
        </w:rPr>
      </w:pPr>
      <w:r w:rsidRPr="00264087">
        <w:rPr>
          <w:bCs/>
        </w:rPr>
        <w:t xml:space="preserve">The </w:t>
      </w:r>
      <w:r w:rsidR="004B62A8">
        <w:rPr>
          <w:bCs/>
        </w:rPr>
        <w:t>NNVRP</w:t>
      </w:r>
      <w:r w:rsidRPr="00264087">
        <w:rPr>
          <w:bCs/>
        </w:rPr>
        <w:t xml:space="preserve"> wish to commission research to gain insight into the contributory factors towards the high numbers of FTEs locally. These factors may include societal, policy or practice drivers and factors which are impacting on high numbers of FTEs in the local area, when compared with other core cities and statistical neighbours. </w:t>
      </w:r>
    </w:p>
    <w:p w:rsidR="00264087" w:rsidP="00264087" w:rsidRDefault="00264087" w14:paraId="3921F799" w14:textId="6B5735B6">
      <w:pPr>
        <w:rPr>
          <w:bCs/>
        </w:rPr>
      </w:pPr>
    </w:p>
    <w:p w:rsidRPr="00264087" w:rsidR="00264087" w:rsidP="00264087" w:rsidRDefault="00264087" w14:paraId="0BB488F9" w14:textId="2206B7B2">
      <w:pPr>
        <w:ind w:left="709"/>
        <w:jc w:val="both"/>
        <w:rPr>
          <w:rFonts w:ascii="Arial" w:hAnsi="Arial" w:cs="Arial"/>
          <w:bCs/>
        </w:rPr>
      </w:pPr>
      <w:r w:rsidRPr="00264087">
        <w:rPr>
          <w:rFonts w:ascii="Arial" w:hAnsi="Arial" w:cs="Arial"/>
          <w:bCs/>
        </w:rPr>
        <w:tab/>
        <w:t xml:space="preserve">This research should evaluate the impact of individual, familiar, </w:t>
      </w:r>
      <w:proofErr w:type="gramStart"/>
      <w:r w:rsidRPr="00264087">
        <w:rPr>
          <w:rFonts w:ascii="Arial" w:hAnsi="Arial" w:cs="Arial"/>
          <w:bCs/>
        </w:rPr>
        <w:t>local</w:t>
      </w:r>
      <w:proofErr w:type="gramEnd"/>
      <w:r w:rsidRPr="00264087">
        <w:rPr>
          <w:rFonts w:ascii="Arial" w:hAnsi="Arial" w:cs="Arial"/>
          <w:bCs/>
        </w:rPr>
        <w:t xml:space="preserve"> and wider social determinants at all levels in relation to FTEs.  For example, school exclusions, parental employment etc.  </w:t>
      </w:r>
    </w:p>
    <w:p w:rsidRPr="00264087" w:rsidR="00264087" w:rsidP="00264087" w:rsidRDefault="00264087" w14:paraId="76C1F9B5" w14:textId="0A9590FD">
      <w:pPr>
        <w:ind w:left="709"/>
        <w:jc w:val="both"/>
        <w:rPr>
          <w:rFonts w:ascii="Arial" w:hAnsi="Arial" w:cs="Arial"/>
          <w:bCs/>
        </w:rPr>
      </w:pPr>
    </w:p>
    <w:p w:rsidRPr="00264087" w:rsidR="00264087" w:rsidP="00264087" w:rsidRDefault="00264087" w14:paraId="26E7F3AF" w14:textId="6884F8D9">
      <w:pPr>
        <w:ind w:left="709"/>
        <w:jc w:val="both"/>
        <w:rPr>
          <w:rFonts w:ascii="Arial" w:hAnsi="Arial" w:cs="Arial"/>
          <w:bCs/>
        </w:rPr>
      </w:pPr>
      <w:r w:rsidRPr="00264087">
        <w:rPr>
          <w:rFonts w:ascii="Arial" w:hAnsi="Arial" w:cs="Arial"/>
          <w:bCs/>
        </w:rPr>
        <w:tab/>
        <w:t>The research will need to provide recommendations that guide the NNVRP and wider partners in our action planning, commissioning</w:t>
      </w:r>
      <w:r w:rsidR="004B62A8">
        <w:rPr>
          <w:rFonts w:ascii="Arial" w:hAnsi="Arial" w:cs="Arial"/>
          <w:bCs/>
        </w:rPr>
        <w:t>,</w:t>
      </w:r>
      <w:r w:rsidRPr="00264087">
        <w:rPr>
          <w:rFonts w:ascii="Arial" w:hAnsi="Arial" w:cs="Arial"/>
          <w:bCs/>
        </w:rPr>
        <w:t xml:space="preserve"> and strategic approaches to reducing serious violence.  </w:t>
      </w:r>
    </w:p>
    <w:p w:rsidRPr="00264087" w:rsidR="00264087" w:rsidP="00264087" w:rsidRDefault="00264087" w14:paraId="45B8DE0C" w14:textId="602B5351">
      <w:pPr>
        <w:ind w:left="709"/>
        <w:jc w:val="both"/>
        <w:rPr>
          <w:rFonts w:ascii="Arial" w:hAnsi="Arial" w:cs="Arial"/>
          <w:bCs/>
        </w:rPr>
      </w:pPr>
    </w:p>
    <w:p w:rsidR="00264087" w:rsidP="004B62A8" w:rsidRDefault="00264087" w14:paraId="5E3FF0C2" w14:textId="1E84B93C">
      <w:pPr>
        <w:ind w:left="709"/>
        <w:jc w:val="both"/>
        <w:rPr>
          <w:rFonts w:ascii="Arial" w:hAnsi="Arial" w:cs="Arial"/>
          <w:bCs/>
        </w:rPr>
      </w:pPr>
      <w:r w:rsidRPr="00264087">
        <w:rPr>
          <w:rFonts w:ascii="Arial" w:hAnsi="Arial" w:cs="Arial"/>
          <w:bCs/>
        </w:rPr>
        <w:tab/>
        <w:t>A set of questions have been identified that should be explored in this study, with the research methods selected appropriately to respond to these. Bidders may identify further questions that their study will cover to support understanding of this theme. Key questions include:</w:t>
      </w:r>
    </w:p>
    <w:p w:rsidR="00264087" w:rsidP="00264087" w:rsidRDefault="00264087" w14:paraId="3167ECCD" w14:textId="7AF42F8D">
      <w:pPr>
        <w:ind w:left="709"/>
        <w:jc w:val="both"/>
        <w:rPr>
          <w:rFonts w:ascii="Arial" w:hAnsi="Arial" w:cs="Arial"/>
          <w:bCs/>
        </w:rPr>
      </w:pPr>
    </w:p>
    <w:p w:rsidR="00264087" w:rsidP="004B62A8" w:rsidRDefault="00264087" w14:paraId="7CA16D4D" w14:textId="77777777">
      <w:pPr>
        <w:numPr>
          <w:ilvl w:val="0"/>
          <w:numId w:val="32"/>
        </w:numPr>
        <w:spacing w:after="120"/>
        <w:ind w:left="714" w:hanging="357"/>
        <w:jc w:val="both"/>
        <w:rPr>
          <w:rFonts w:ascii="Arial" w:hAnsi="Arial" w:cs="Arial"/>
          <w:bCs/>
        </w:rPr>
      </w:pPr>
      <w:r w:rsidRPr="00264087">
        <w:rPr>
          <w:rFonts w:ascii="Arial" w:hAnsi="Arial" w:cs="Arial"/>
          <w:bCs/>
        </w:rPr>
        <w:t xml:space="preserve">What are the comparative trends in the numbers and rates of FTEs in Nottingham and Nottinghamshire in relation to other core cities, statistical neighbours, regional and national trends? </w:t>
      </w:r>
    </w:p>
    <w:p w:rsidR="00264087" w:rsidP="004B62A8" w:rsidRDefault="00264087" w14:paraId="04D129D4" w14:textId="3091497F">
      <w:pPr>
        <w:numPr>
          <w:ilvl w:val="0"/>
          <w:numId w:val="32"/>
        </w:numPr>
        <w:spacing w:after="120"/>
        <w:ind w:left="714" w:hanging="357"/>
        <w:jc w:val="both"/>
        <w:rPr>
          <w:rFonts w:ascii="Arial" w:hAnsi="Arial" w:cs="Arial"/>
          <w:bCs/>
        </w:rPr>
      </w:pPr>
      <w:r w:rsidRPr="00264087">
        <w:rPr>
          <w:rFonts w:ascii="Arial" w:hAnsi="Arial" w:cs="Arial"/>
          <w:bCs/>
        </w:rPr>
        <w:t xml:space="preserve">What are the patterns of offences for FTEs coming into </w:t>
      </w:r>
      <w:r w:rsidR="004B62A8">
        <w:rPr>
          <w:rFonts w:ascii="Arial" w:hAnsi="Arial" w:cs="Arial"/>
          <w:bCs/>
        </w:rPr>
        <w:t>Y</w:t>
      </w:r>
      <w:r w:rsidRPr="00264087">
        <w:rPr>
          <w:rFonts w:ascii="Arial" w:hAnsi="Arial" w:cs="Arial"/>
          <w:bCs/>
        </w:rPr>
        <w:t xml:space="preserve">outh </w:t>
      </w:r>
      <w:r w:rsidR="004B62A8">
        <w:rPr>
          <w:rFonts w:ascii="Arial" w:hAnsi="Arial" w:cs="Arial"/>
          <w:bCs/>
        </w:rPr>
        <w:t>J</w:t>
      </w:r>
      <w:r w:rsidRPr="00264087">
        <w:rPr>
          <w:rFonts w:ascii="Arial" w:hAnsi="Arial" w:cs="Arial"/>
          <w:bCs/>
        </w:rPr>
        <w:t xml:space="preserve">ustice </w:t>
      </w:r>
      <w:r w:rsidR="004B62A8">
        <w:rPr>
          <w:rFonts w:ascii="Arial" w:hAnsi="Arial" w:cs="Arial"/>
          <w:bCs/>
        </w:rPr>
        <w:t>S</w:t>
      </w:r>
      <w:r w:rsidRPr="00264087">
        <w:rPr>
          <w:rFonts w:ascii="Arial" w:hAnsi="Arial" w:cs="Arial"/>
          <w:bCs/>
        </w:rPr>
        <w:t>ervices, and how do these compare with the types of offences seen elsewhere?</w:t>
      </w:r>
    </w:p>
    <w:p w:rsidR="00264087" w:rsidP="004B62A8" w:rsidRDefault="00264087" w14:paraId="22527A71" w14:textId="5F214F74">
      <w:pPr>
        <w:pStyle w:val="ListParagraph"/>
        <w:numPr>
          <w:ilvl w:val="0"/>
          <w:numId w:val="32"/>
        </w:numPr>
        <w:spacing w:before="0" w:after="120"/>
        <w:ind w:left="714" w:hanging="357"/>
        <w:contextualSpacing/>
        <w:jc w:val="left"/>
        <w:rPr>
          <w:rFonts w:cstheme="minorHAnsi"/>
        </w:rPr>
      </w:pPr>
      <w:r>
        <w:rPr>
          <w:rFonts w:cstheme="minorHAnsi"/>
        </w:rPr>
        <w:t xml:space="preserve">What does the evidence base say about violence against the person offences including weapons possession and FTEs into the </w:t>
      </w:r>
      <w:r w:rsidR="004B62A8">
        <w:rPr>
          <w:rFonts w:cstheme="minorHAnsi"/>
        </w:rPr>
        <w:t>YJS</w:t>
      </w:r>
      <w:r>
        <w:rPr>
          <w:rFonts w:cstheme="minorHAnsi"/>
        </w:rPr>
        <w:t>?</w:t>
      </w:r>
    </w:p>
    <w:p w:rsidR="00264087" w:rsidP="004B62A8" w:rsidRDefault="00264087" w14:paraId="3083072F" w14:textId="451BB4A1">
      <w:pPr>
        <w:numPr>
          <w:ilvl w:val="0"/>
          <w:numId w:val="32"/>
        </w:numPr>
        <w:spacing w:after="120"/>
        <w:ind w:left="714" w:hanging="357"/>
        <w:jc w:val="both"/>
        <w:rPr>
          <w:rFonts w:ascii="Arial" w:hAnsi="Arial" w:cs="Arial"/>
          <w:bCs/>
        </w:rPr>
      </w:pPr>
      <w:r>
        <w:rPr>
          <w:rFonts w:ascii="Arial" w:hAnsi="Arial" w:cs="Arial"/>
          <w:bCs/>
        </w:rPr>
        <w:lastRenderedPageBreak/>
        <w:t>What are the outcomes for FTEs in Youth Justice Services locally in relation to violence against the person offences and weapons possession (as victims or perpetrators)?</w:t>
      </w:r>
    </w:p>
    <w:p w:rsidRPr="00264087" w:rsidR="00264087" w:rsidP="004B62A8" w:rsidRDefault="00264087" w14:paraId="6505E9BE" w14:textId="132348B4">
      <w:pPr>
        <w:numPr>
          <w:ilvl w:val="0"/>
          <w:numId w:val="32"/>
        </w:numPr>
        <w:spacing w:after="120"/>
        <w:ind w:left="714" w:hanging="357"/>
        <w:jc w:val="both"/>
        <w:rPr>
          <w:rFonts w:ascii="Arial" w:hAnsi="Arial" w:cs="Arial"/>
          <w:bCs/>
        </w:rPr>
      </w:pPr>
      <w:r w:rsidRPr="00264087">
        <w:rPr>
          <w:rFonts w:ascii="Arial" w:hAnsi="Arial" w:cs="Arial"/>
          <w:bCs/>
        </w:rPr>
        <w:t xml:space="preserve">What factors (individual, community, and organisational) influence the likelihood of being a FTE to </w:t>
      </w:r>
      <w:r w:rsidR="004B62A8">
        <w:rPr>
          <w:rFonts w:ascii="Arial" w:hAnsi="Arial" w:cs="Arial"/>
          <w:bCs/>
        </w:rPr>
        <w:t>Y</w:t>
      </w:r>
      <w:r w:rsidRPr="00264087">
        <w:rPr>
          <w:rFonts w:ascii="Arial" w:hAnsi="Arial" w:cs="Arial"/>
          <w:bCs/>
        </w:rPr>
        <w:t xml:space="preserve">outh </w:t>
      </w:r>
      <w:r w:rsidR="004B62A8">
        <w:rPr>
          <w:rFonts w:ascii="Arial" w:hAnsi="Arial" w:cs="Arial"/>
          <w:bCs/>
        </w:rPr>
        <w:t>J</w:t>
      </w:r>
      <w:r w:rsidRPr="00264087">
        <w:rPr>
          <w:rFonts w:ascii="Arial" w:hAnsi="Arial" w:cs="Arial"/>
          <w:bCs/>
        </w:rPr>
        <w:t xml:space="preserve">ustice </w:t>
      </w:r>
      <w:r w:rsidR="004B62A8">
        <w:rPr>
          <w:rFonts w:ascii="Arial" w:hAnsi="Arial" w:cs="Arial"/>
          <w:bCs/>
        </w:rPr>
        <w:t>S</w:t>
      </w:r>
      <w:r w:rsidRPr="00264087">
        <w:rPr>
          <w:rFonts w:ascii="Arial" w:hAnsi="Arial" w:cs="Arial"/>
          <w:bCs/>
        </w:rPr>
        <w:t>ervices locally? Conversely, what are the protective factors?</w:t>
      </w:r>
    </w:p>
    <w:p w:rsidRPr="00264087" w:rsidR="00264087" w:rsidP="004B62A8" w:rsidRDefault="00264087" w14:paraId="2EE51B15" w14:textId="77777777">
      <w:pPr>
        <w:numPr>
          <w:ilvl w:val="0"/>
          <w:numId w:val="32"/>
        </w:numPr>
        <w:spacing w:after="120"/>
        <w:ind w:left="714" w:hanging="357"/>
        <w:jc w:val="both"/>
        <w:rPr>
          <w:rFonts w:ascii="Arial" w:hAnsi="Arial" w:cs="Arial"/>
          <w:bCs/>
        </w:rPr>
      </w:pPr>
      <w:r w:rsidRPr="00264087">
        <w:rPr>
          <w:rFonts w:ascii="Arial" w:hAnsi="Arial" w:cs="Arial"/>
          <w:bCs/>
        </w:rPr>
        <w:t xml:space="preserve">Within Nottingham and Nottinghamshire, how does the FTE cohort compare with the wider population in relation to protected characteristics, </w:t>
      </w:r>
      <w:proofErr w:type="gramStart"/>
      <w:r w:rsidRPr="00264087">
        <w:rPr>
          <w:rFonts w:ascii="Arial" w:hAnsi="Arial" w:cs="Arial"/>
          <w:bCs/>
        </w:rPr>
        <w:t>vulnerabilities</w:t>
      </w:r>
      <w:proofErr w:type="gramEnd"/>
      <w:r w:rsidRPr="00264087">
        <w:rPr>
          <w:rFonts w:ascii="Arial" w:hAnsi="Arial" w:cs="Arial"/>
          <w:bCs/>
        </w:rPr>
        <w:t xml:space="preserve"> and disadvantage? </w:t>
      </w:r>
    </w:p>
    <w:p w:rsidR="00264087" w:rsidP="004B62A8" w:rsidRDefault="00264087" w14:paraId="52ED587B" w14:textId="578CFA37">
      <w:pPr>
        <w:numPr>
          <w:ilvl w:val="0"/>
          <w:numId w:val="32"/>
        </w:numPr>
        <w:spacing w:after="120"/>
        <w:ind w:left="714" w:hanging="357"/>
        <w:jc w:val="both"/>
        <w:rPr>
          <w:rFonts w:ascii="Arial" w:hAnsi="Arial" w:cs="Arial"/>
          <w:bCs/>
        </w:rPr>
      </w:pPr>
      <w:r w:rsidRPr="00264087">
        <w:rPr>
          <w:rFonts w:ascii="Arial" w:hAnsi="Arial" w:cs="Arial"/>
          <w:bCs/>
        </w:rPr>
        <w:t>What can Nottingham and Nottinghamshire learn from other areas to reduce FTEs and to reduce the likelihood of escalations to involvement in serious violence</w:t>
      </w:r>
      <w:r>
        <w:rPr>
          <w:rFonts w:ascii="Arial" w:hAnsi="Arial" w:cs="Arial"/>
          <w:bCs/>
        </w:rPr>
        <w:t>?</w:t>
      </w:r>
    </w:p>
    <w:p w:rsidRPr="00264087" w:rsidR="00FD1AD8" w:rsidP="004B62A8" w:rsidRDefault="00264087" w14:paraId="4B2F58B9" w14:textId="135EF49F">
      <w:pPr>
        <w:pStyle w:val="ListParagraph"/>
        <w:numPr>
          <w:ilvl w:val="0"/>
          <w:numId w:val="32"/>
        </w:numPr>
        <w:spacing w:before="0" w:after="120"/>
        <w:ind w:left="714" w:hanging="357"/>
        <w:contextualSpacing/>
        <w:jc w:val="left"/>
        <w:rPr>
          <w:rFonts w:cstheme="minorHAnsi"/>
        </w:rPr>
      </w:pPr>
      <w:r>
        <w:rPr>
          <w:rStyle w:val="ui-provider"/>
        </w:rPr>
        <w:t xml:space="preserve">What is the relationship between FTEs and preventative and diversionary disposals? Which preventative and diversionary disposals are working most effectively to prevent young people from entering the </w:t>
      </w:r>
      <w:r w:rsidR="0057034B">
        <w:rPr>
          <w:rStyle w:val="ui-provider"/>
        </w:rPr>
        <w:t>CJS</w:t>
      </w:r>
      <w:r>
        <w:rPr>
          <w:rStyle w:val="ui-provider"/>
        </w:rPr>
        <w:t>?</w:t>
      </w:r>
    </w:p>
    <w:p w:rsidR="00FD1AD8" w:rsidP="00537D69" w:rsidRDefault="00FD1AD8" w14:paraId="22ADFDF0" w14:textId="5935F3BF">
      <w:pPr>
        <w:rPr>
          <w:rFonts w:ascii="Arial" w:hAnsi="Arial" w:cs="Arial"/>
          <w:b/>
        </w:rPr>
      </w:pPr>
    </w:p>
    <w:p w:rsidR="00264087" w:rsidP="00537D69" w:rsidRDefault="00264087" w14:paraId="05D4D74F" w14:textId="77777777">
      <w:pPr>
        <w:rPr>
          <w:rFonts w:ascii="Arial" w:hAnsi="Arial" w:cs="Arial"/>
          <w:b/>
        </w:rPr>
      </w:pPr>
    </w:p>
    <w:p w:rsidR="00FD1AD8" w:rsidP="00537D69" w:rsidRDefault="00264087" w14:paraId="2AB9014A" w14:textId="7DA8ADA2">
      <w:pPr>
        <w:rPr>
          <w:rFonts w:ascii="Arial" w:hAnsi="Arial" w:cs="Arial"/>
          <w:b/>
        </w:rPr>
      </w:pPr>
      <w:r>
        <w:rPr>
          <w:rFonts w:ascii="Arial" w:hAnsi="Arial" w:cs="Arial"/>
          <w:b/>
        </w:rPr>
        <w:t>2.4</w:t>
      </w:r>
      <w:r>
        <w:rPr>
          <w:rFonts w:ascii="Arial" w:hAnsi="Arial" w:cs="Arial"/>
          <w:b/>
        </w:rPr>
        <w:tab/>
      </w:r>
      <w:r w:rsidR="00FD1AD8">
        <w:rPr>
          <w:rFonts w:ascii="Arial" w:hAnsi="Arial" w:cs="Arial"/>
          <w:b/>
        </w:rPr>
        <w:t>Outputs</w:t>
      </w:r>
    </w:p>
    <w:p w:rsidR="00FD1AD8" w:rsidP="00537D69" w:rsidRDefault="00FD1AD8" w14:paraId="21526939" w14:textId="471491DB">
      <w:pPr>
        <w:rPr>
          <w:rFonts w:ascii="Arial" w:hAnsi="Arial" w:cs="Arial"/>
          <w:b/>
        </w:rPr>
      </w:pPr>
    </w:p>
    <w:p w:rsidR="00FD1AD8" w:rsidP="00264087" w:rsidRDefault="00FD1AD8" w14:paraId="7B2C5D0A" w14:textId="213E1850">
      <w:pPr>
        <w:ind w:left="720"/>
        <w:jc w:val="both"/>
        <w:rPr>
          <w:rFonts w:ascii="Arial" w:hAnsi="Arial" w:cs="Arial"/>
          <w:bCs/>
        </w:rPr>
      </w:pPr>
      <w:r>
        <w:rPr>
          <w:rFonts w:ascii="Arial" w:hAnsi="Arial" w:cs="Arial"/>
          <w:bCs/>
        </w:rPr>
        <w:t xml:space="preserve">The NNVRP are the primary audience for this research, to inform the partnership on early intervention and prevention.  It is vital that the researchers work effectively in collaboration with a steering group of stakeholders from across Nottingham and Nottinghamshire to generate appropriate and implementable recommendations.  </w:t>
      </w:r>
    </w:p>
    <w:p w:rsidR="00154C3A" w:rsidP="00264087" w:rsidRDefault="00154C3A" w14:paraId="66378263" w14:textId="7A91FB2F">
      <w:pPr>
        <w:ind w:left="720"/>
        <w:jc w:val="both"/>
        <w:rPr>
          <w:rFonts w:ascii="Arial" w:hAnsi="Arial" w:cs="Arial"/>
          <w:bCs/>
        </w:rPr>
      </w:pPr>
    </w:p>
    <w:p w:rsidR="00154C3A" w:rsidP="00264087" w:rsidRDefault="00154C3A" w14:paraId="4D5E3781" w14:textId="6211E8E1">
      <w:pPr>
        <w:ind w:left="720"/>
        <w:jc w:val="both"/>
        <w:rPr>
          <w:rFonts w:ascii="Arial" w:hAnsi="Arial" w:cs="Arial"/>
        </w:rPr>
      </w:pPr>
      <w:r w:rsidRPr="00573460">
        <w:rPr>
          <w:rFonts w:ascii="Arial" w:hAnsi="Arial" w:cs="Arial"/>
        </w:rPr>
        <w:t>A research agreement will be required to commence this work. Any</w:t>
      </w:r>
      <w:r>
        <w:rPr>
          <w:rFonts w:ascii="Arial" w:hAnsi="Arial" w:cs="Arial"/>
        </w:rPr>
        <w:t xml:space="preserve"> planned secondary outputs such as publication or dissemination should first be discussed and agreed with the commissioners.</w:t>
      </w:r>
    </w:p>
    <w:p w:rsidR="00154C3A" w:rsidP="00264087" w:rsidRDefault="00154C3A" w14:paraId="641FE9FC" w14:textId="3760581E">
      <w:pPr>
        <w:ind w:left="720"/>
        <w:jc w:val="both"/>
        <w:rPr>
          <w:rFonts w:ascii="Arial" w:hAnsi="Arial" w:cs="Arial"/>
        </w:rPr>
      </w:pPr>
    </w:p>
    <w:p w:rsidRPr="00154C3A" w:rsidR="00154C3A" w:rsidP="00264087" w:rsidRDefault="00154C3A" w14:paraId="06213C23" w14:textId="4AC71763">
      <w:pPr>
        <w:ind w:left="709"/>
        <w:jc w:val="both"/>
        <w:rPr>
          <w:rFonts w:ascii="Arial" w:hAnsi="Arial" w:cs="Arial"/>
        </w:rPr>
      </w:pPr>
      <w:r>
        <w:rPr>
          <w:rFonts w:ascii="Arial" w:hAnsi="Arial" w:cs="Arial"/>
        </w:rPr>
        <w:t>The following products are expected</w:t>
      </w:r>
      <w:r w:rsidRPr="009B2398">
        <w:rPr>
          <w:rFonts w:ascii="Arial" w:hAnsi="Arial" w:cs="Arial"/>
        </w:rPr>
        <w:t>:</w:t>
      </w:r>
    </w:p>
    <w:p w:rsidRPr="00FD1AD8" w:rsidR="00FD1AD8" w:rsidP="00264087" w:rsidRDefault="00FD1AD8" w14:paraId="6059B754" w14:textId="77777777">
      <w:pPr>
        <w:jc w:val="both"/>
        <w:rPr>
          <w:rFonts w:ascii="Arial" w:hAnsi="Arial" w:cs="Arial"/>
          <w:bCs/>
        </w:rPr>
      </w:pPr>
    </w:p>
    <w:p w:rsidRPr="00154C3A" w:rsidR="00FD1AD8" w:rsidP="00264087" w:rsidRDefault="00154C3A" w14:paraId="1ED1E3F8" w14:textId="601DF4A2">
      <w:pPr>
        <w:numPr>
          <w:ilvl w:val="0"/>
          <w:numId w:val="28"/>
        </w:numPr>
        <w:jc w:val="both"/>
        <w:rPr>
          <w:rFonts w:ascii="Arial" w:hAnsi="Arial" w:cs="Arial"/>
          <w:bCs/>
        </w:rPr>
      </w:pPr>
      <w:r w:rsidRPr="00154C3A">
        <w:rPr>
          <w:rFonts w:ascii="Arial" w:hAnsi="Arial" w:cs="Arial"/>
          <w:bCs/>
        </w:rPr>
        <w:t>Facilitation of a monthly</w:t>
      </w:r>
      <w:r w:rsidRPr="00154C3A" w:rsidR="00FD1AD8">
        <w:rPr>
          <w:rFonts w:ascii="Arial" w:hAnsi="Arial" w:cs="Arial"/>
          <w:bCs/>
        </w:rPr>
        <w:t xml:space="preserve"> steering group with key stakeholders. </w:t>
      </w:r>
    </w:p>
    <w:p w:rsidRPr="00FD1AD8" w:rsidR="00FD1AD8" w:rsidP="00264087" w:rsidRDefault="00FD1AD8" w14:paraId="75235BD6" w14:textId="77777777">
      <w:pPr>
        <w:numPr>
          <w:ilvl w:val="0"/>
          <w:numId w:val="28"/>
        </w:numPr>
        <w:jc w:val="both"/>
        <w:rPr>
          <w:rFonts w:ascii="Arial" w:hAnsi="Arial" w:cs="Arial"/>
          <w:bCs/>
        </w:rPr>
      </w:pPr>
      <w:r w:rsidRPr="00FD1AD8">
        <w:rPr>
          <w:rFonts w:ascii="Arial" w:hAnsi="Arial" w:cs="Arial"/>
          <w:bCs/>
        </w:rPr>
        <w:t>Monthly update emails on progress.</w:t>
      </w:r>
    </w:p>
    <w:p w:rsidRPr="00FD1AD8" w:rsidR="00FD1AD8" w:rsidP="00264087" w:rsidRDefault="00154C3A" w14:paraId="68870A2A" w14:textId="1EB2C1F2">
      <w:pPr>
        <w:numPr>
          <w:ilvl w:val="0"/>
          <w:numId w:val="28"/>
        </w:numPr>
        <w:jc w:val="both"/>
        <w:rPr>
          <w:rFonts w:ascii="Arial" w:hAnsi="Arial" w:cs="Arial"/>
          <w:bCs/>
        </w:rPr>
      </w:pPr>
      <w:r w:rsidRPr="00154C3A">
        <w:rPr>
          <w:rFonts w:ascii="Arial" w:hAnsi="Arial" w:cs="Arial"/>
          <w:bCs/>
        </w:rPr>
        <w:t>A</w:t>
      </w:r>
      <w:r w:rsidRPr="00FD1AD8" w:rsidR="00FD1AD8">
        <w:rPr>
          <w:rFonts w:ascii="Arial" w:hAnsi="Arial" w:cs="Arial"/>
          <w:bCs/>
        </w:rPr>
        <w:t xml:space="preserve"> draft report and the co-development of recommendations with the stakeholders.</w:t>
      </w:r>
    </w:p>
    <w:p w:rsidR="00FD1AD8" w:rsidP="00264087" w:rsidRDefault="00FD1AD8" w14:paraId="7665F820" w14:textId="4B1A26B9">
      <w:pPr>
        <w:numPr>
          <w:ilvl w:val="0"/>
          <w:numId w:val="28"/>
        </w:numPr>
        <w:jc w:val="both"/>
        <w:rPr>
          <w:rFonts w:ascii="Arial" w:hAnsi="Arial" w:cs="Arial"/>
          <w:bCs/>
        </w:rPr>
      </w:pPr>
      <w:r w:rsidRPr="00FD1AD8">
        <w:rPr>
          <w:rFonts w:ascii="Arial" w:hAnsi="Arial" w:cs="Arial"/>
          <w:bCs/>
        </w:rPr>
        <w:t>A final report and presentation of findings through an agreed dissemination plan, including an easy read summary of the findings for stakeholders.</w:t>
      </w:r>
    </w:p>
    <w:p w:rsidR="00264087" w:rsidP="00264087" w:rsidRDefault="00264087" w14:paraId="454C5F3F" w14:textId="4B920C3E">
      <w:pPr>
        <w:ind w:left="720"/>
        <w:jc w:val="both"/>
        <w:rPr>
          <w:rFonts w:ascii="Arial" w:hAnsi="Arial" w:cs="Arial"/>
          <w:bCs/>
        </w:rPr>
      </w:pPr>
    </w:p>
    <w:p w:rsidRPr="00154C3A" w:rsidR="00264087" w:rsidP="00264087" w:rsidRDefault="00264087" w14:paraId="3CEC884E" w14:textId="77777777">
      <w:pPr>
        <w:ind w:left="720"/>
        <w:jc w:val="both"/>
        <w:rPr>
          <w:rFonts w:ascii="Arial" w:hAnsi="Arial" w:cs="Arial"/>
          <w:bCs/>
        </w:rPr>
      </w:pPr>
    </w:p>
    <w:p w:rsidR="00FD1AD8" w:rsidP="00264087" w:rsidRDefault="00264087" w14:paraId="45AEBDAD" w14:textId="03AEA13D">
      <w:pPr>
        <w:jc w:val="both"/>
        <w:rPr>
          <w:rFonts w:ascii="Arial" w:hAnsi="Arial" w:cs="Arial"/>
          <w:b/>
        </w:rPr>
      </w:pPr>
      <w:r>
        <w:rPr>
          <w:rFonts w:ascii="Arial" w:hAnsi="Arial" w:cs="Arial"/>
          <w:b/>
        </w:rPr>
        <w:t>2.5</w:t>
      </w:r>
      <w:r>
        <w:rPr>
          <w:rFonts w:ascii="Arial" w:hAnsi="Arial" w:cs="Arial"/>
          <w:b/>
        </w:rPr>
        <w:tab/>
      </w:r>
      <w:r w:rsidR="00FD1AD8">
        <w:rPr>
          <w:rFonts w:ascii="Arial" w:hAnsi="Arial" w:cs="Arial"/>
          <w:b/>
        </w:rPr>
        <w:t>Timescales</w:t>
      </w:r>
    </w:p>
    <w:p w:rsidR="00FD1AD8" w:rsidP="00264087" w:rsidRDefault="00FD1AD8" w14:paraId="71AAA3A5" w14:textId="79E5C8B8">
      <w:pPr>
        <w:jc w:val="both"/>
        <w:rPr>
          <w:rFonts w:ascii="Arial" w:hAnsi="Arial" w:cs="Arial"/>
          <w:b/>
        </w:rPr>
      </w:pPr>
      <w:r>
        <w:rPr>
          <w:rFonts w:ascii="Arial" w:hAnsi="Arial" w:cs="Arial"/>
          <w:b/>
        </w:rPr>
        <w:tab/>
      </w:r>
    </w:p>
    <w:p w:rsidRPr="00E4424C" w:rsidR="00154C3A" w:rsidP="00264087" w:rsidRDefault="00E4424C" w14:paraId="6AFD50D1" w14:textId="2EF8AABF">
      <w:pPr>
        <w:ind w:firstLine="567"/>
        <w:jc w:val="both"/>
        <w:rPr>
          <w:rFonts w:ascii="Arial" w:hAnsi="Arial" w:cs="Arial"/>
          <w:bCs/>
        </w:rPr>
      </w:pPr>
      <w:r w:rsidRPr="00E4424C">
        <w:rPr>
          <w:rFonts w:ascii="Arial" w:hAnsi="Arial" w:cs="Arial"/>
          <w:bCs/>
        </w:rPr>
        <w:t>5-</w:t>
      </w:r>
      <w:r w:rsidRPr="00E4424C" w:rsidR="00FD1AD8">
        <w:rPr>
          <w:rFonts w:ascii="Arial" w:hAnsi="Arial" w:cs="Arial"/>
          <w:bCs/>
        </w:rPr>
        <w:t xml:space="preserve">month research study to commence in </w:t>
      </w:r>
      <w:r w:rsidRPr="00E4424C">
        <w:rPr>
          <w:rFonts w:ascii="Arial" w:hAnsi="Arial" w:cs="Arial"/>
          <w:bCs/>
        </w:rPr>
        <w:t>October/November</w:t>
      </w:r>
      <w:r w:rsidRPr="00E4424C" w:rsidR="00FD1AD8">
        <w:rPr>
          <w:rFonts w:ascii="Arial" w:hAnsi="Arial" w:cs="Arial"/>
          <w:bCs/>
        </w:rPr>
        <w:t xml:space="preserve"> 2023 </w:t>
      </w:r>
    </w:p>
    <w:p w:rsidRPr="00E4424C" w:rsidR="00E4424C" w:rsidP="00264087" w:rsidRDefault="00E4424C" w14:paraId="1E610D11" w14:textId="77777777">
      <w:pPr>
        <w:ind w:left="720"/>
        <w:jc w:val="both"/>
        <w:rPr>
          <w:rFonts w:ascii="Arial" w:hAnsi="Arial" w:cs="Arial"/>
          <w:bCs/>
        </w:rPr>
      </w:pPr>
    </w:p>
    <w:p w:rsidRPr="00E4424C" w:rsidR="00154C3A" w:rsidP="00264087" w:rsidRDefault="00154C3A" w14:paraId="5C1232EB" w14:textId="23414787">
      <w:pPr>
        <w:ind w:firstLine="567"/>
        <w:jc w:val="both"/>
        <w:rPr>
          <w:rFonts w:ascii="Arial" w:hAnsi="Arial" w:cs="Arial"/>
        </w:rPr>
      </w:pPr>
      <w:r w:rsidRPr="00E4424C">
        <w:rPr>
          <w:rFonts w:ascii="Arial" w:hAnsi="Arial" w:cs="Arial"/>
        </w:rPr>
        <w:t>The following key milestones for this project include:</w:t>
      </w:r>
    </w:p>
    <w:p w:rsidRPr="00E4424C" w:rsidR="00154C3A" w:rsidP="00264087" w:rsidRDefault="00154C3A" w14:paraId="1A61D1F3" w14:textId="77777777">
      <w:pPr>
        <w:jc w:val="both"/>
        <w:rPr>
          <w:rFonts w:ascii="Arial" w:hAnsi="Arial" w:cs="Arial"/>
          <w:sz w:val="4"/>
          <w:szCs w:val="4"/>
        </w:rPr>
      </w:pPr>
    </w:p>
    <w:p w:rsidRPr="00E4424C" w:rsidR="00154C3A" w:rsidP="00264087" w:rsidRDefault="00154C3A" w14:paraId="1B8DBCCE" w14:textId="73188EC3">
      <w:pPr>
        <w:pStyle w:val="Heading2"/>
        <w:numPr>
          <w:ilvl w:val="0"/>
          <w:numId w:val="29"/>
        </w:numPr>
        <w:tabs>
          <w:tab w:val="clear" w:pos="0"/>
        </w:tabs>
        <w:ind w:left="993" w:hanging="426"/>
        <w:jc w:val="both"/>
      </w:pPr>
      <w:r w:rsidRPr="00E4424C">
        <w:t xml:space="preserve">Contract </w:t>
      </w:r>
      <w:r w:rsidRPr="00E4424C" w:rsidR="00E4424C">
        <w:t>award 20</w:t>
      </w:r>
      <w:r w:rsidRPr="00E4424C" w:rsidR="00E4424C">
        <w:rPr>
          <w:vertAlign w:val="superscript"/>
        </w:rPr>
        <w:t>th</w:t>
      </w:r>
      <w:r w:rsidRPr="00E4424C" w:rsidR="00E4424C">
        <w:t xml:space="preserve"> October 2023</w:t>
      </w:r>
    </w:p>
    <w:p w:rsidRPr="00704723" w:rsidR="00154C3A" w:rsidP="00264087" w:rsidRDefault="00154C3A" w14:paraId="2790EDD3" w14:textId="4A4781F7">
      <w:pPr>
        <w:pStyle w:val="Heading2"/>
        <w:numPr>
          <w:ilvl w:val="0"/>
          <w:numId w:val="29"/>
        </w:numPr>
        <w:tabs>
          <w:tab w:val="clear" w:pos="0"/>
        </w:tabs>
        <w:ind w:left="993" w:hanging="426"/>
        <w:jc w:val="both"/>
      </w:pPr>
      <w:r>
        <w:t>Interim report to be submitted February 2023</w:t>
      </w:r>
    </w:p>
    <w:p w:rsidRPr="00D60EF1" w:rsidR="00154C3A" w:rsidP="00264087" w:rsidRDefault="00154C3A" w14:paraId="7E0079F6" w14:textId="5C722CBD">
      <w:pPr>
        <w:pStyle w:val="Heading2"/>
        <w:numPr>
          <w:ilvl w:val="0"/>
          <w:numId w:val="29"/>
        </w:numPr>
        <w:tabs>
          <w:tab w:val="clear" w:pos="0"/>
        </w:tabs>
        <w:ind w:left="993" w:hanging="426"/>
        <w:jc w:val="both"/>
      </w:pPr>
      <w:r w:rsidRPr="00704723">
        <w:t xml:space="preserve">Final Report and review </w:t>
      </w:r>
      <w:r>
        <w:t>by 31</w:t>
      </w:r>
      <w:r w:rsidRPr="00EB75CA">
        <w:rPr>
          <w:vertAlign w:val="superscript"/>
        </w:rPr>
        <w:t>st</w:t>
      </w:r>
      <w:r>
        <w:t xml:space="preserve"> March 2023</w:t>
      </w:r>
    </w:p>
    <w:p w:rsidR="00FD1AD8" w:rsidP="00264087" w:rsidRDefault="00FD1AD8" w14:paraId="6660B972" w14:textId="488B16E0">
      <w:pPr>
        <w:jc w:val="both"/>
        <w:rPr>
          <w:rFonts w:ascii="Arial" w:hAnsi="Arial" w:cs="Arial"/>
          <w:b/>
        </w:rPr>
      </w:pPr>
    </w:p>
    <w:p w:rsidR="00154C3A" w:rsidP="00264087" w:rsidRDefault="00154C3A" w14:paraId="77783816" w14:textId="4FF86758">
      <w:pPr>
        <w:pStyle w:val="Heading2"/>
        <w:ind w:left="0"/>
        <w:jc w:val="both"/>
      </w:pPr>
      <w:r>
        <w:tab/>
      </w:r>
      <w:r w:rsidRPr="00F64524">
        <w:t>There is little flexibility in the timescale.</w:t>
      </w:r>
    </w:p>
    <w:p w:rsidR="00154C3A" w:rsidP="00264087" w:rsidRDefault="00154C3A" w14:paraId="1AF97D4C" w14:textId="704891FE">
      <w:pPr>
        <w:jc w:val="both"/>
        <w:rPr>
          <w:rFonts w:ascii="Arial" w:hAnsi="Arial" w:cs="Arial"/>
          <w:b/>
        </w:rPr>
      </w:pPr>
    </w:p>
    <w:p w:rsidR="00154C3A" w:rsidP="00264087" w:rsidRDefault="00154C3A" w14:paraId="2B159EC2" w14:textId="77777777">
      <w:pPr>
        <w:jc w:val="both"/>
        <w:rPr>
          <w:rFonts w:ascii="Arial" w:hAnsi="Arial" w:cs="Arial"/>
          <w:b/>
        </w:rPr>
      </w:pPr>
    </w:p>
    <w:p w:rsidR="00FD1AD8" w:rsidP="00264087" w:rsidRDefault="00264087" w14:paraId="3CD34B4A" w14:textId="18E60385">
      <w:pPr>
        <w:jc w:val="both"/>
        <w:rPr>
          <w:rFonts w:ascii="Arial" w:hAnsi="Arial" w:cs="Arial"/>
          <w:b/>
        </w:rPr>
      </w:pPr>
      <w:r>
        <w:rPr>
          <w:rFonts w:ascii="Arial" w:hAnsi="Arial" w:cs="Arial"/>
          <w:b/>
        </w:rPr>
        <w:t>2.6</w:t>
      </w:r>
      <w:r>
        <w:rPr>
          <w:rFonts w:ascii="Arial" w:hAnsi="Arial" w:cs="Arial"/>
          <w:b/>
        </w:rPr>
        <w:tab/>
      </w:r>
      <w:r w:rsidR="00FD1AD8">
        <w:rPr>
          <w:rFonts w:ascii="Arial" w:hAnsi="Arial" w:cs="Arial"/>
          <w:b/>
        </w:rPr>
        <w:t>Budget</w:t>
      </w:r>
    </w:p>
    <w:p w:rsidR="00FD1AD8" w:rsidP="00264087" w:rsidRDefault="00FD1AD8" w14:paraId="62C64B3E" w14:textId="7AE6F7D5">
      <w:pPr>
        <w:jc w:val="both"/>
        <w:rPr>
          <w:rFonts w:ascii="Arial" w:hAnsi="Arial" w:cs="Arial"/>
          <w:b/>
        </w:rPr>
      </w:pPr>
    </w:p>
    <w:p w:rsidR="00154C3A" w:rsidP="00264087" w:rsidRDefault="00154C3A" w14:paraId="0CC5C5C7" w14:textId="5AAB9C9C">
      <w:pPr>
        <w:pStyle w:val="Heading2"/>
        <w:ind w:left="720"/>
        <w:jc w:val="both"/>
      </w:pPr>
      <w:r w:rsidRPr="00671617">
        <w:t xml:space="preserve">The total budget for </w:t>
      </w:r>
      <w:r>
        <w:t xml:space="preserve">work </w:t>
      </w:r>
      <w:r w:rsidRPr="00671617">
        <w:t>i</w:t>
      </w:r>
      <w:r>
        <w:t>s not expected to exceed £20,000</w:t>
      </w:r>
      <w:r w:rsidRPr="00671617">
        <w:t>.</w:t>
      </w:r>
      <w:r>
        <w:t xml:space="preserve"> A fully costed proposal should be submitted with all prices excluding</w:t>
      </w:r>
      <w:r w:rsidRPr="00671617">
        <w:t xml:space="preserve"> VAT. </w:t>
      </w:r>
    </w:p>
    <w:p w:rsidRPr="00154C3A" w:rsidR="00154C3A" w:rsidP="00264087" w:rsidRDefault="00154C3A" w14:paraId="09BE9713" w14:textId="1A4116C5">
      <w:pPr>
        <w:jc w:val="both"/>
        <w:rPr>
          <w:rFonts w:ascii="Arial" w:hAnsi="Arial" w:cs="Arial"/>
          <w:bCs/>
        </w:rPr>
      </w:pPr>
    </w:p>
    <w:p w:rsidRPr="00FD1AD8" w:rsidR="00FD1AD8" w:rsidP="00264087" w:rsidRDefault="00FD1AD8" w14:paraId="7B3D61F1" w14:textId="77777777">
      <w:pPr>
        <w:ind w:left="720"/>
        <w:jc w:val="both"/>
        <w:rPr>
          <w:rFonts w:ascii="Arial" w:hAnsi="Arial" w:cs="Arial"/>
          <w:bCs/>
        </w:rPr>
      </w:pPr>
      <w:r w:rsidRPr="00FD1AD8">
        <w:rPr>
          <w:rFonts w:ascii="Arial" w:hAnsi="Arial" w:cs="Arial"/>
          <w:bCs/>
        </w:rPr>
        <w:t xml:space="preserve">Reasonable costs of disseminating the findings can be included in the total maximum cost. </w:t>
      </w:r>
    </w:p>
    <w:p w:rsidR="00FE05B1" w:rsidP="00264087" w:rsidRDefault="00FE05B1" w14:paraId="5677D8AD" w14:textId="11F710A3">
      <w:pPr>
        <w:jc w:val="both"/>
        <w:rPr>
          <w:rFonts w:ascii="Arial" w:hAnsi="Arial" w:cs="Arial"/>
          <w:b/>
        </w:rPr>
      </w:pPr>
    </w:p>
    <w:p w:rsidR="00154C3A" w:rsidP="00264087" w:rsidRDefault="00154C3A" w14:paraId="4E45ECB8" w14:textId="76F72E0B">
      <w:pPr>
        <w:ind w:left="720"/>
        <w:jc w:val="both"/>
        <w:rPr>
          <w:rFonts w:ascii="Arial" w:hAnsi="Arial" w:cs="Arial"/>
          <w:b/>
        </w:rPr>
      </w:pPr>
      <w:r>
        <w:rPr>
          <w:rFonts w:ascii="Arial" w:hAnsi="Arial" w:cs="Arial"/>
        </w:rPr>
        <w:t>We would prefer you use the Costing Document provided and amend the headings as appropriate, but you may submit this information using your own document providing the information is complete and clear.</w:t>
      </w:r>
    </w:p>
    <w:p w:rsidR="00154C3A" w:rsidP="00264087" w:rsidRDefault="00154C3A" w14:paraId="2A0B638E" w14:textId="3176E610">
      <w:pPr>
        <w:jc w:val="both"/>
        <w:rPr>
          <w:rFonts w:ascii="Arial" w:hAnsi="Arial" w:cs="Arial"/>
          <w:b/>
        </w:rPr>
      </w:pPr>
    </w:p>
    <w:p w:rsidR="00154C3A" w:rsidP="00264087" w:rsidRDefault="00154C3A" w14:paraId="6C1B26DD" w14:textId="04A21C11">
      <w:pPr>
        <w:autoSpaceDE w:val="0"/>
        <w:autoSpaceDN w:val="0"/>
        <w:ind w:left="720"/>
        <w:jc w:val="both"/>
        <w:rPr>
          <w:rFonts w:ascii="Arial" w:hAnsi="Arial" w:cs="Arial"/>
          <w:color w:val="000000"/>
        </w:rPr>
      </w:pPr>
      <w:r w:rsidRPr="009C40AF">
        <w:rPr>
          <w:rFonts w:ascii="Arial" w:hAnsi="Arial" w:cs="Arial"/>
          <w:color w:val="000000"/>
        </w:rPr>
        <w:t xml:space="preserve">Up to 25% of the price bid can be paid to begin the </w:t>
      </w:r>
      <w:r>
        <w:rPr>
          <w:rFonts w:ascii="Arial" w:hAnsi="Arial" w:cs="Arial"/>
          <w:color w:val="000000"/>
        </w:rPr>
        <w:t xml:space="preserve">research </w:t>
      </w:r>
      <w:r w:rsidRPr="009C40AF">
        <w:rPr>
          <w:rFonts w:ascii="Arial" w:hAnsi="Arial" w:cs="Arial"/>
          <w:color w:val="000000"/>
        </w:rPr>
        <w:t xml:space="preserve">if this is required to facilitate the early phase of the project. Any outstanding amount will be paid upon receipt of a satisfactory report agreed with </w:t>
      </w:r>
      <w:r>
        <w:rPr>
          <w:rFonts w:ascii="Arial" w:hAnsi="Arial" w:cs="Arial"/>
          <w:color w:val="000000"/>
        </w:rPr>
        <w:t>NN</w:t>
      </w:r>
      <w:r w:rsidRPr="009C40AF">
        <w:rPr>
          <w:rFonts w:ascii="Arial" w:hAnsi="Arial" w:cs="Arial"/>
          <w:color w:val="000000"/>
        </w:rPr>
        <w:t>VR</w:t>
      </w:r>
      <w:r>
        <w:rPr>
          <w:rFonts w:ascii="Arial" w:hAnsi="Arial" w:cs="Arial"/>
          <w:color w:val="000000"/>
        </w:rPr>
        <w:t>P</w:t>
      </w:r>
      <w:r w:rsidRPr="009C40AF">
        <w:rPr>
          <w:rFonts w:ascii="Arial" w:hAnsi="Arial" w:cs="Arial"/>
          <w:color w:val="000000"/>
        </w:rPr>
        <w:t>.</w:t>
      </w:r>
      <w:r w:rsidRPr="001449A0">
        <w:rPr>
          <w:rFonts w:ascii="Arial" w:hAnsi="Arial" w:cs="Arial"/>
          <w:color w:val="000000"/>
        </w:rPr>
        <w:t xml:space="preserve">  </w:t>
      </w:r>
    </w:p>
    <w:p w:rsidRPr="0042101D" w:rsidR="0042101D" w:rsidP="00264087" w:rsidRDefault="0042101D" w14:paraId="3CA79E8B" w14:textId="77777777">
      <w:pPr>
        <w:jc w:val="both"/>
      </w:pPr>
    </w:p>
    <w:p w:rsidRPr="0073214B" w:rsidR="00CD2504" w:rsidP="00264087" w:rsidRDefault="00CD2504" w14:paraId="68FC3925" w14:textId="77777777">
      <w:pPr>
        <w:jc w:val="both"/>
        <w:rPr>
          <w:rFonts w:ascii="Arial" w:hAnsi="Arial" w:cs="Arial"/>
        </w:rPr>
      </w:pPr>
    </w:p>
    <w:p w:rsidRPr="002C4ADA" w:rsidR="00D65252" w:rsidP="00264087" w:rsidRDefault="00264087" w14:paraId="58F724C2" w14:textId="03E42EAF">
      <w:pPr>
        <w:jc w:val="both"/>
        <w:rPr>
          <w:rFonts w:ascii="Arial" w:hAnsi="Arial" w:cs="Arial"/>
          <w:sz w:val="28"/>
          <w:szCs w:val="28"/>
        </w:rPr>
      </w:pPr>
      <w:r>
        <w:rPr>
          <w:rFonts w:ascii="Arial" w:hAnsi="Arial" w:cs="Arial"/>
          <w:b/>
          <w:sz w:val="28"/>
          <w:szCs w:val="28"/>
        </w:rPr>
        <w:t>3.</w:t>
      </w:r>
      <w:r>
        <w:rPr>
          <w:rFonts w:ascii="Arial" w:hAnsi="Arial" w:cs="Arial"/>
          <w:b/>
          <w:sz w:val="28"/>
          <w:szCs w:val="28"/>
        </w:rPr>
        <w:tab/>
      </w:r>
      <w:r w:rsidR="00E4424C">
        <w:rPr>
          <w:rFonts w:ascii="Arial" w:hAnsi="Arial" w:cs="Arial"/>
          <w:b/>
          <w:sz w:val="28"/>
          <w:szCs w:val="28"/>
        </w:rPr>
        <w:t>Conditions of Contract</w:t>
      </w:r>
    </w:p>
    <w:p w:rsidRPr="0073214B" w:rsidR="00D65252" w:rsidP="00264087" w:rsidRDefault="00D65252" w14:paraId="1C4A07D0" w14:textId="77777777">
      <w:pPr>
        <w:jc w:val="both"/>
        <w:rPr>
          <w:rFonts w:ascii="Arial" w:hAnsi="Arial" w:cs="Arial"/>
        </w:rPr>
      </w:pPr>
    </w:p>
    <w:p w:rsidRPr="00F30D05" w:rsidR="00F30D05" w:rsidP="00264087" w:rsidRDefault="00F30D05" w14:paraId="1773514F" w14:textId="77777777">
      <w:pPr>
        <w:ind w:firstLine="720"/>
        <w:jc w:val="both"/>
        <w:rPr>
          <w:rFonts w:ascii="Arial" w:hAnsi="Arial" w:cs="Arial"/>
        </w:rPr>
      </w:pPr>
      <w:bookmarkStart w:name="_Hlk141370450" w:id="4"/>
      <w:r w:rsidRPr="00F30D05">
        <w:rPr>
          <w:rFonts w:ascii="Arial" w:hAnsi="Arial" w:cs="Arial"/>
        </w:rPr>
        <w:t xml:space="preserve">Tenderers must declare any conflicts of interest for team members in the specific </w:t>
      </w:r>
    </w:p>
    <w:p w:rsidRPr="00F30D05" w:rsidR="00F30D05" w:rsidP="00264087" w:rsidRDefault="00F30D05" w14:paraId="3E02F142" w14:textId="6896EC0B">
      <w:pPr>
        <w:ind w:firstLine="720"/>
        <w:jc w:val="both"/>
        <w:rPr>
          <w:rFonts w:ascii="Arial" w:hAnsi="Arial" w:cs="Arial"/>
        </w:rPr>
      </w:pPr>
      <w:r w:rsidRPr="00F30D05">
        <w:rPr>
          <w:rFonts w:ascii="Arial" w:hAnsi="Arial" w:cs="Arial"/>
        </w:rPr>
        <w:t xml:space="preserve">context of this </w:t>
      </w:r>
      <w:r w:rsidR="00154C3A">
        <w:rPr>
          <w:rFonts w:ascii="Arial" w:hAnsi="Arial" w:cs="Arial"/>
        </w:rPr>
        <w:t>research</w:t>
      </w:r>
      <w:r w:rsidRPr="00F30D05">
        <w:rPr>
          <w:rFonts w:ascii="Arial" w:hAnsi="Arial" w:cs="Arial"/>
        </w:rPr>
        <w:t>.</w:t>
      </w:r>
    </w:p>
    <w:p w:rsidR="00386F91" w:rsidP="00264087" w:rsidRDefault="00386F91" w14:paraId="78D92E4A" w14:textId="16D13DA2">
      <w:pPr>
        <w:ind w:left="709"/>
        <w:jc w:val="both"/>
        <w:rPr>
          <w:rFonts w:ascii="Arial" w:hAnsi="Arial" w:cs="Arial"/>
        </w:rPr>
      </w:pPr>
    </w:p>
    <w:p w:rsidR="00E4424C" w:rsidP="00264087" w:rsidRDefault="00E4424C" w14:paraId="540FFB1D" w14:textId="35F83DFC">
      <w:pPr>
        <w:ind w:left="720"/>
        <w:jc w:val="both"/>
        <w:rPr>
          <w:rFonts w:ascii="Arial" w:hAnsi="Arial" w:cs="Arial"/>
        </w:rPr>
      </w:pPr>
      <w:r w:rsidRPr="00671617">
        <w:rPr>
          <w:rFonts w:ascii="Arial" w:hAnsi="Arial" w:cs="Arial"/>
        </w:rPr>
        <w:t xml:space="preserve">Any purchase order or contract awarded to an organisation </w:t>
      </w:r>
      <w:proofErr w:type="gramStart"/>
      <w:r w:rsidRPr="00671617">
        <w:rPr>
          <w:rFonts w:ascii="Arial" w:hAnsi="Arial" w:cs="Arial"/>
        </w:rPr>
        <w:t>as a result of</w:t>
      </w:r>
      <w:proofErr w:type="gramEnd"/>
      <w:r w:rsidRPr="00671617">
        <w:rPr>
          <w:rFonts w:ascii="Arial" w:hAnsi="Arial" w:cs="Arial"/>
        </w:rPr>
        <w:t xml:space="preserve"> the acceptance of their quotation by the PCC</w:t>
      </w:r>
      <w:r>
        <w:rPr>
          <w:rFonts w:ascii="Arial" w:hAnsi="Arial" w:cs="Arial"/>
        </w:rPr>
        <w:t>/VRU</w:t>
      </w:r>
      <w:r w:rsidRPr="00671617">
        <w:rPr>
          <w:rFonts w:ascii="Arial" w:hAnsi="Arial" w:cs="Arial"/>
        </w:rPr>
        <w:t xml:space="preserve"> will be in accordance with the following terms and conditions of contract. </w:t>
      </w:r>
    </w:p>
    <w:p w:rsidR="00E4424C" w:rsidP="00264087" w:rsidRDefault="00E4424C" w14:paraId="042157F0" w14:textId="77777777">
      <w:pPr>
        <w:jc w:val="both"/>
        <w:rPr>
          <w:rFonts w:ascii="Arial" w:hAnsi="Arial" w:cs="Arial"/>
        </w:rPr>
      </w:pPr>
    </w:p>
    <w:bookmarkStart w:name="_MON_1751983651" w:id="5"/>
    <w:bookmarkEnd w:id="5"/>
    <w:p w:rsidR="00E4424C" w:rsidP="00264087" w:rsidRDefault="009E6E90" w14:paraId="0E3741D8" w14:textId="35BC408D">
      <w:pPr>
        <w:ind w:left="709"/>
        <w:jc w:val="both"/>
        <w:rPr>
          <w:rFonts w:ascii="Arial" w:hAnsi="Arial" w:cs="Arial"/>
        </w:rPr>
      </w:pPr>
      <w:r>
        <w:rPr>
          <w:rFonts w:ascii="Arial" w:hAnsi="Arial" w:cs="Arial"/>
        </w:rPr>
        <w:object w:dxaOrig="1534" w:dyaOrig="991" w14:anchorId="120535D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9pt;height:49.9pt" o:ole="" type="#_x0000_t75">
            <v:imagedata o:title="" r:id="rId14"/>
          </v:shape>
          <o:OLEObject Type="Embed" ProgID="Word.Document.8" ShapeID="_x0000_i1025" DrawAspect="Icon" ObjectID="_1752991859" r:id="rId15">
            <o:FieldCodes>\s</o:FieldCodes>
          </o:OLEObject>
        </w:object>
      </w:r>
    </w:p>
    <w:p w:rsidR="00E4424C" w:rsidP="00264087" w:rsidRDefault="00E4424C" w14:paraId="78E5C306" w14:textId="77777777">
      <w:pPr>
        <w:jc w:val="both"/>
        <w:rPr>
          <w:rFonts w:ascii="Arial" w:hAnsi="Arial" w:cs="Arial"/>
        </w:rPr>
      </w:pPr>
    </w:p>
    <w:p w:rsidRPr="00F30D05" w:rsidR="005425AE" w:rsidP="00264087" w:rsidRDefault="00E4424C" w14:paraId="19A029B8" w14:textId="4E1D35B7">
      <w:pPr>
        <w:ind w:left="720"/>
        <w:jc w:val="both"/>
        <w:rPr>
          <w:rFonts w:ascii="Arial" w:hAnsi="Arial" w:cs="Arial"/>
        </w:rPr>
      </w:pPr>
      <w:r>
        <w:rPr>
          <w:rFonts w:ascii="Arial" w:hAnsi="Arial" w:cs="Arial"/>
        </w:rPr>
        <w:t xml:space="preserve">Please note that this is a template agreement and may be subject to slight changes and amendments which will be discussed with the successful researcher. </w:t>
      </w:r>
    </w:p>
    <w:p w:rsidR="005425AE" w:rsidP="00264087" w:rsidRDefault="005425AE" w14:paraId="0D8C2A51" w14:textId="77777777">
      <w:pPr>
        <w:ind w:left="720"/>
        <w:jc w:val="both"/>
        <w:rPr>
          <w:rFonts w:ascii="Arial" w:hAnsi="Arial" w:cs="Arial"/>
        </w:rPr>
      </w:pPr>
    </w:p>
    <w:p w:rsidR="00386F91" w:rsidP="00264087" w:rsidRDefault="00F30D05" w14:paraId="08E00E32" w14:textId="15392E9A">
      <w:pPr>
        <w:ind w:left="720"/>
        <w:jc w:val="both"/>
        <w:rPr>
          <w:rFonts w:ascii="Arial" w:hAnsi="Arial" w:cs="Arial"/>
        </w:rPr>
      </w:pPr>
      <w:r w:rsidRPr="00F30D05">
        <w:rPr>
          <w:rFonts w:ascii="Arial" w:hAnsi="Arial" w:cs="Arial"/>
        </w:rPr>
        <w:t>Information governance principles must be upheld, and a</w:t>
      </w:r>
      <w:r w:rsidR="00386F91">
        <w:rPr>
          <w:rFonts w:ascii="Arial" w:hAnsi="Arial" w:cs="Arial"/>
        </w:rPr>
        <w:t xml:space="preserve"> data sharing agreement </w:t>
      </w:r>
      <w:r w:rsidR="005425AE">
        <w:rPr>
          <w:rFonts w:ascii="Arial" w:hAnsi="Arial" w:cs="Arial"/>
        </w:rPr>
        <w:t>may be required with partner agencies</w:t>
      </w:r>
      <w:r w:rsidR="00386F91">
        <w:rPr>
          <w:rFonts w:ascii="Arial" w:hAnsi="Arial" w:cs="Arial"/>
        </w:rPr>
        <w:t xml:space="preserve">. </w:t>
      </w:r>
    </w:p>
    <w:bookmarkEnd w:id="4"/>
    <w:p w:rsidR="00386F91" w:rsidP="00264087" w:rsidRDefault="00386F91" w14:paraId="6163ACC3" w14:textId="77777777">
      <w:pPr>
        <w:ind w:left="720"/>
        <w:jc w:val="both"/>
        <w:rPr>
          <w:rFonts w:ascii="Arial" w:hAnsi="Arial" w:cs="Arial"/>
        </w:rPr>
      </w:pPr>
    </w:p>
    <w:p w:rsidR="00386F91" w:rsidP="00264087" w:rsidRDefault="00386F91" w14:paraId="2783F3AF" w14:textId="77777777">
      <w:pPr>
        <w:ind w:left="720"/>
        <w:jc w:val="both"/>
        <w:rPr>
          <w:rFonts w:ascii="Arial" w:hAnsi="Arial" w:cs="Arial"/>
        </w:rPr>
      </w:pPr>
    </w:p>
    <w:p w:rsidR="00FE05B1" w:rsidP="0073214B" w:rsidRDefault="00FE05B1" w14:paraId="68480EF8" w14:textId="77777777">
      <w:pPr>
        <w:jc w:val="both"/>
        <w:rPr>
          <w:rFonts w:ascii="Arial" w:hAnsi="Arial" w:cs="Arial"/>
        </w:rPr>
      </w:pPr>
    </w:p>
    <w:p w:rsidR="00E62DA9" w:rsidP="0073214B" w:rsidRDefault="00E62DA9" w14:paraId="7C4CD6B2" w14:textId="17AFEE0D">
      <w:pPr>
        <w:jc w:val="both"/>
        <w:rPr>
          <w:rFonts w:ascii="Arial" w:hAnsi="Arial" w:cs="Arial"/>
        </w:rPr>
      </w:pPr>
    </w:p>
    <w:sectPr w:rsidR="00E62DA9" w:rsidSect="00E2446C">
      <w:headerReference w:type="default" r:id="rId16"/>
      <w:footerReference w:type="default" r:id="rId17"/>
      <w:pgSz w:w="11906" w:h="16838" w:code="9"/>
      <w:pgMar w:top="1304" w:right="1134" w:bottom="1134"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458F" w14:textId="77777777" w:rsidR="00D00711" w:rsidRDefault="00D00711" w:rsidP="00200E25">
      <w:r>
        <w:separator/>
      </w:r>
    </w:p>
  </w:endnote>
  <w:endnote w:type="continuationSeparator" w:id="0">
    <w:p w14:paraId="3E6D1975" w14:textId="77777777" w:rsidR="00D00711" w:rsidRDefault="00D00711" w:rsidP="0020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3932"/>
      <w:docPartObj>
        <w:docPartGallery w:val="Page Numbers (Bottom of Page)"/>
        <w:docPartUnique/>
      </w:docPartObj>
    </w:sdtPr>
    <w:sdtEndPr>
      <w:rPr>
        <w:rFonts w:ascii="Arial" w:hAnsi="Arial" w:cs="Arial"/>
        <w:noProof/>
        <w:sz w:val="20"/>
        <w:szCs w:val="20"/>
      </w:rPr>
    </w:sdtEndPr>
    <w:sdtContent>
      <w:p w14:paraId="350CF5C6" w14:textId="07EB0DFB" w:rsidR="00142FDE" w:rsidRPr="00BB59E5" w:rsidRDefault="00142FDE">
        <w:pPr>
          <w:pStyle w:val="Footer"/>
          <w:jc w:val="right"/>
          <w:rPr>
            <w:rFonts w:ascii="Arial" w:hAnsi="Arial" w:cs="Arial"/>
            <w:sz w:val="20"/>
            <w:szCs w:val="20"/>
          </w:rPr>
        </w:pPr>
        <w:r w:rsidRPr="00BB59E5">
          <w:rPr>
            <w:rFonts w:ascii="Arial" w:hAnsi="Arial" w:cs="Arial"/>
            <w:sz w:val="20"/>
            <w:szCs w:val="20"/>
          </w:rPr>
          <w:fldChar w:fldCharType="begin"/>
        </w:r>
        <w:r w:rsidRPr="00BB59E5">
          <w:rPr>
            <w:rFonts w:ascii="Arial" w:hAnsi="Arial" w:cs="Arial"/>
            <w:sz w:val="20"/>
            <w:szCs w:val="20"/>
          </w:rPr>
          <w:instrText xml:space="preserve"> PAGE   \* MERGEFORMAT </w:instrText>
        </w:r>
        <w:r w:rsidRPr="00BB59E5">
          <w:rPr>
            <w:rFonts w:ascii="Arial" w:hAnsi="Arial" w:cs="Arial"/>
            <w:sz w:val="20"/>
            <w:szCs w:val="20"/>
          </w:rPr>
          <w:fldChar w:fldCharType="separate"/>
        </w:r>
        <w:r w:rsidR="00564233">
          <w:rPr>
            <w:rFonts w:ascii="Arial" w:hAnsi="Arial" w:cs="Arial"/>
            <w:noProof/>
            <w:sz w:val="20"/>
            <w:szCs w:val="20"/>
          </w:rPr>
          <w:t>9</w:t>
        </w:r>
        <w:r w:rsidRPr="00BB59E5">
          <w:rPr>
            <w:rFonts w:ascii="Arial" w:hAnsi="Arial" w:cs="Arial"/>
            <w:noProof/>
            <w:sz w:val="20"/>
            <w:szCs w:val="20"/>
          </w:rPr>
          <w:fldChar w:fldCharType="end"/>
        </w:r>
      </w:p>
    </w:sdtContent>
  </w:sdt>
  <w:p w14:paraId="4D3D7D7A" w14:textId="77777777" w:rsidR="00142FDE" w:rsidRDefault="00142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23EE" w14:textId="77777777" w:rsidR="00D00711" w:rsidRDefault="00D00711" w:rsidP="00200E25">
      <w:r>
        <w:separator/>
      </w:r>
    </w:p>
  </w:footnote>
  <w:footnote w:type="continuationSeparator" w:id="0">
    <w:p w14:paraId="3E968D6F" w14:textId="77777777" w:rsidR="00D00711" w:rsidRDefault="00D00711" w:rsidP="0020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E07" w14:textId="0C46AA1D" w:rsidR="00142FDE" w:rsidRPr="009F495C" w:rsidRDefault="00142FDE" w:rsidP="00A61C2C">
    <w:pPr>
      <w:pStyle w:val="Header"/>
      <w:jc w:val="right"/>
      <w:rPr>
        <w:rFonts w:ascii="Arial" w:hAnsi="Arial" w:cs="Arial"/>
        <w:sz w:val="20"/>
        <w:szCs w:val="20"/>
      </w:rPr>
    </w:pPr>
    <w:r w:rsidRPr="009F495C">
      <w:rPr>
        <w:rFonts w:ascii="Arial" w:hAnsi="Arial" w:cs="Arial"/>
        <w:sz w:val="20"/>
        <w:szCs w:val="20"/>
      </w:rPr>
      <w:t xml:space="preserve">RFP for </w:t>
    </w:r>
    <w:r>
      <w:rPr>
        <w:rFonts w:ascii="Arial" w:hAnsi="Arial" w:cs="Arial"/>
        <w:sz w:val="20"/>
        <w:szCs w:val="20"/>
      </w:rPr>
      <w:t xml:space="preserve">Violence Reduction </w:t>
    </w:r>
    <w:r w:rsidR="004778C6">
      <w:rPr>
        <w:rFonts w:ascii="Arial" w:hAnsi="Arial" w:cs="Arial"/>
        <w:sz w:val="20"/>
        <w:szCs w:val="20"/>
      </w:rPr>
      <w:t>Partnership</w:t>
    </w:r>
    <w:r>
      <w:rPr>
        <w:rFonts w:ascii="Arial" w:hAnsi="Arial" w:cs="Arial"/>
        <w:sz w:val="20"/>
        <w:szCs w:val="20"/>
      </w:rPr>
      <w:t xml:space="preserve"> </w:t>
    </w:r>
    <w:r w:rsidR="00EC6EBE">
      <w:rPr>
        <w:rFonts w:ascii="Arial" w:hAnsi="Arial" w:cs="Arial"/>
        <w:sz w:val="20"/>
        <w:szCs w:val="20"/>
      </w:rPr>
      <w:t>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AB"/>
    <w:multiLevelType w:val="hybridMultilevel"/>
    <w:tmpl w:val="7D886D1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A60F83"/>
    <w:multiLevelType w:val="hybridMultilevel"/>
    <w:tmpl w:val="967804E4"/>
    <w:lvl w:ilvl="0" w:tplc="5AEC938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C4B60"/>
    <w:multiLevelType w:val="hybridMultilevel"/>
    <w:tmpl w:val="95F0C7EE"/>
    <w:lvl w:ilvl="0" w:tplc="6F8A6E22">
      <w:start w:val="2"/>
      <w:numFmt w:val="bullet"/>
      <w:lvlText w:val="-"/>
      <w:lvlJc w:val="left"/>
      <w:pPr>
        <w:ind w:left="785" w:hanging="360"/>
      </w:pPr>
      <w:rPr>
        <w:rFonts w:ascii="Times New Roman" w:eastAsia="Times New Roman" w:hAnsi="Times New Roman" w:cs="Times New Roman"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7A569C3"/>
    <w:multiLevelType w:val="multilevel"/>
    <w:tmpl w:val="7AACBD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71D4A"/>
    <w:multiLevelType w:val="hybridMultilevel"/>
    <w:tmpl w:val="D0E0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F71F7"/>
    <w:multiLevelType w:val="hybridMultilevel"/>
    <w:tmpl w:val="B08EAAE0"/>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6" w15:restartNumberingAfterBreak="0">
    <w:nsid w:val="0B143600"/>
    <w:multiLevelType w:val="hybridMultilevel"/>
    <w:tmpl w:val="B81A4394"/>
    <w:lvl w:ilvl="0" w:tplc="CAE6850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66F54E3"/>
    <w:multiLevelType w:val="hybridMultilevel"/>
    <w:tmpl w:val="F1ECA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BD7847"/>
    <w:multiLevelType w:val="hybridMultilevel"/>
    <w:tmpl w:val="53B47B22"/>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9" w15:restartNumberingAfterBreak="0">
    <w:nsid w:val="1FF77890"/>
    <w:multiLevelType w:val="hybridMultilevel"/>
    <w:tmpl w:val="9CAACB02"/>
    <w:lvl w:ilvl="0" w:tplc="A7B2EAA8">
      <w:start w:val="1"/>
      <w:numFmt w:val="decimal"/>
      <w:pStyle w:val="ListParagraph"/>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385619C"/>
    <w:multiLevelType w:val="hybridMultilevel"/>
    <w:tmpl w:val="C0122538"/>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4080D1B"/>
    <w:multiLevelType w:val="hybridMultilevel"/>
    <w:tmpl w:val="0C08D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9E3F84"/>
    <w:multiLevelType w:val="hybridMultilevel"/>
    <w:tmpl w:val="E938BC46"/>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3" w15:restartNumberingAfterBreak="0">
    <w:nsid w:val="28E766DF"/>
    <w:multiLevelType w:val="multilevel"/>
    <w:tmpl w:val="66F8C75E"/>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576"/>
        </w:tabs>
        <w:ind w:left="576" w:hanging="576"/>
      </w:pPr>
      <w:rPr>
        <w:rFonts w:ascii="Symbol" w:hAnsi="Symbol" w:hint="default"/>
      </w:rPr>
    </w:lvl>
    <w:lvl w:ilvl="2">
      <w:start w:val="1"/>
      <w:numFmt w:val="bullet"/>
      <w:lvlText w:val=""/>
      <w:lvlJc w:val="left"/>
      <w:pPr>
        <w:tabs>
          <w:tab w:val="num" w:pos="1430"/>
        </w:tabs>
        <w:ind w:left="1430" w:hanging="720"/>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DB078ED"/>
    <w:multiLevelType w:val="hybridMultilevel"/>
    <w:tmpl w:val="18C8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C15752"/>
    <w:multiLevelType w:val="hybridMultilevel"/>
    <w:tmpl w:val="76CCD8E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339B7397"/>
    <w:multiLevelType w:val="hybridMultilevel"/>
    <w:tmpl w:val="27C4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05503"/>
    <w:multiLevelType w:val="hybridMultilevel"/>
    <w:tmpl w:val="64801E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BD185A"/>
    <w:multiLevelType w:val="multilevel"/>
    <w:tmpl w:val="2026AC4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bullet"/>
      <w:lvlText w:val=""/>
      <w:lvlJc w:val="left"/>
      <w:pPr>
        <w:tabs>
          <w:tab w:val="num" w:pos="1430"/>
        </w:tabs>
        <w:ind w:left="1430" w:hanging="720"/>
      </w:pPr>
      <w:rPr>
        <w:rFonts w:ascii="Symbol" w:hAnsi="Symbol" w:hint="default"/>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9" w15:restartNumberingAfterBreak="0">
    <w:nsid w:val="395A7186"/>
    <w:multiLevelType w:val="hybridMultilevel"/>
    <w:tmpl w:val="DEE0D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AF4D4F"/>
    <w:multiLevelType w:val="hybridMultilevel"/>
    <w:tmpl w:val="2BDE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D7A07"/>
    <w:multiLevelType w:val="multilevel"/>
    <w:tmpl w:val="53CC2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07FF3"/>
    <w:multiLevelType w:val="hybridMultilevel"/>
    <w:tmpl w:val="B7F6D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901F04"/>
    <w:multiLevelType w:val="hybridMultilevel"/>
    <w:tmpl w:val="4BC4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C5BFD"/>
    <w:multiLevelType w:val="hybridMultilevel"/>
    <w:tmpl w:val="95904C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D37325"/>
    <w:multiLevelType w:val="hybridMultilevel"/>
    <w:tmpl w:val="5D6C8618"/>
    <w:lvl w:ilvl="0" w:tplc="1D186760">
      <w:start w:val="5"/>
      <w:numFmt w:val="bullet"/>
      <w:lvlText w:val=""/>
      <w:lvlJc w:val="left"/>
      <w:pPr>
        <w:ind w:left="1003" w:hanging="360"/>
      </w:pPr>
      <w:rPr>
        <w:rFonts w:ascii="Symbol" w:eastAsia="Times New Roman" w:hAnsi="Symbol" w:cs="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6" w15:restartNumberingAfterBreak="0">
    <w:nsid w:val="65577A0C"/>
    <w:multiLevelType w:val="hybridMultilevel"/>
    <w:tmpl w:val="C8E229D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712" w:hanging="360"/>
      </w:pPr>
      <w:rPr>
        <w:rFonts w:ascii="Courier New" w:hAnsi="Courier New" w:cs="Courier New" w:hint="default"/>
      </w:rPr>
    </w:lvl>
    <w:lvl w:ilvl="2" w:tplc="08090005" w:tentative="1">
      <w:start w:val="1"/>
      <w:numFmt w:val="bullet"/>
      <w:lvlText w:val=""/>
      <w:lvlJc w:val="left"/>
      <w:pPr>
        <w:ind w:left="2432" w:hanging="360"/>
      </w:pPr>
      <w:rPr>
        <w:rFonts w:ascii="Wingdings" w:hAnsi="Wingdings" w:hint="default"/>
      </w:rPr>
    </w:lvl>
    <w:lvl w:ilvl="3" w:tplc="08090001" w:tentative="1">
      <w:start w:val="1"/>
      <w:numFmt w:val="bullet"/>
      <w:lvlText w:val=""/>
      <w:lvlJc w:val="left"/>
      <w:pPr>
        <w:ind w:left="3152" w:hanging="360"/>
      </w:pPr>
      <w:rPr>
        <w:rFonts w:ascii="Symbol" w:hAnsi="Symbol" w:hint="default"/>
      </w:rPr>
    </w:lvl>
    <w:lvl w:ilvl="4" w:tplc="08090003" w:tentative="1">
      <w:start w:val="1"/>
      <w:numFmt w:val="bullet"/>
      <w:lvlText w:val="o"/>
      <w:lvlJc w:val="left"/>
      <w:pPr>
        <w:ind w:left="3872" w:hanging="360"/>
      </w:pPr>
      <w:rPr>
        <w:rFonts w:ascii="Courier New" w:hAnsi="Courier New" w:cs="Courier New" w:hint="default"/>
      </w:rPr>
    </w:lvl>
    <w:lvl w:ilvl="5" w:tplc="08090005" w:tentative="1">
      <w:start w:val="1"/>
      <w:numFmt w:val="bullet"/>
      <w:lvlText w:val=""/>
      <w:lvlJc w:val="left"/>
      <w:pPr>
        <w:ind w:left="4592" w:hanging="360"/>
      </w:pPr>
      <w:rPr>
        <w:rFonts w:ascii="Wingdings" w:hAnsi="Wingdings" w:hint="default"/>
      </w:rPr>
    </w:lvl>
    <w:lvl w:ilvl="6" w:tplc="08090001" w:tentative="1">
      <w:start w:val="1"/>
      <w:numFmt w:val="bullet"/>
      <w:lvlText w:val=""/>
      <w:lvlJc w:val="left"/>
      <w:pPr>
        <w:ind w:left="5312" w:hanging="360"/>
      </w:pPr>
      <w:rPr>
        <w:rFonts w:ascii="Symbol" w:hAnsi="Symbol" w:hint="default"/>
      </w:rPr>
    </w:lvl>
    <w:lvl w:ilvl="7" w:tplc="08090003" w:tentative="1">
      <w:start w:val="1"/>
      <w:numFmt w:val="bullet"/>
      <w:lvlText w:val="o"/>
      <w:lvlJc w:val="left"/>
      <w:pPr>
        <w:ind w:left="6032" w:hanging="360"/>
      </w:pPr>
      <w:rPr>
        <w:rFonts w:ascii="Courier New" w:hAnsi="Courier New" w:cs="Courier New" w:hint="default"/>
      </w:rPr>
    </w:lvl>
    <w:lvl w:ilvl="8" w:tplc="08090005" w:tentative="1">
      <w:start w:val="1"/>
      <w:numFmt w:val="bullet"/>
      <w:lvlText w:val=""/>
      <w:lvlJc w:val="left"/>
      <w:pPr>
        <w:ind w:left="6752" w:hanging="360"/>
      </w:pPr>
      <w:rPr>
        <w:rFonts w:ascii="Wingdings" w:hAnsi="Wingdings" w:hint="default"/>
      </w:rPr>
    </w:lvl>
  </w:abstractNum>
  <w:abstractNum w:abstractNumId="27" w15:restartNumberingAfterBreak="0">
    <w:nsid w:val="6DBE5DB9"/>
    <w:multiLevelType w:val="hybridMultilevel"/>
    <w:tmpl w:val="9D2E8B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3722E59"/>
    <w:multiLevelType w:val="hybridMultilevel"/>
    <w:tmpl w:val="F9887C6E"/>
    <w:lvl w:ilvl="0" w:tplc="0876D4F0">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CD2BA9"/>
    <w:multiLevelType w:val="hybridMultilevel"/>
    <w:tmpl w:val="3E28F2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9A24CF"/>
    <w:multiLevelType w:val="hybridMultilevel"/>
    <w:tmpl w:val="232A89C6"/>
    <w:lvl w:ilvl="0" w:tplc="C3EE3D5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711B5"/>
    <w:multiLevelType w:val="hybridMultilevel"/>
    <w:tmpl w:val="FF16925E"/>
    <w:lvl w:ilvl="0" w:tplc="08090001">
      <w:start w:val="1"/>
      <w:numFmt w:val="bullet"/>
      <w:lvlText w:val=""/>
      <w:lvlJc w:val="left"/>
      <w:pPr>
        <w:ind w:left="1860" w:hanging="360"/>
      </w:pPr>
      <w:rPr>
        <w:rFonts w:ascii="Symbol" w:hAnsi="Symbol"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1273828858">
    <w:abstractNumId w:val="18"/>
  </w:num>
  <w:num w:numId="2" w16cid:durableId="1888032644">
    <w:abstractNumId w:val="9"/>
  </w:num>
  <w:num w:numId="3" w16cid:durableId="1005933571">
    <w:abstractNumId w:val="4"/>
  </w:num>
  <w:num w:numId="4" w16cid:durableId="575633673">
    <w:abstractNumId w:val="8"/>
  </w:num>
  <w:num w:numId="5" w16cid:durableId="634917577">
    <w:abstractNumId w:val="15"/>
  </w:num>
  <w:num w:numId="6" w16cid:durableId="317803520">
    <w:abstractNumId w:val="27"/>
  </w:num>
  <w:num w:numId="7" w16cid:durableId="1082026684">
    <w:abstractNumId w:val="6"/>
  </w:num>
  <w:num w:numId="8" w16cid:durableId="1737510334">
    <w:abstractNumId w:val="31"/>
  </w:num>
  <w:num w:numId="9" w16cid:durableId="361788419">
    <w:abstractNumId w:val="10"/>
  </w:num>
  <w:num w:numId="10" w16cid:durableId="1719083060">
    <w:abstractNumId w:val="21"/>
  </w:num>
  <w:num w:numId="11" w16cid:durableId="630747057">
    <w:abstractNumId w:val="11"/>
  </w:num>
  <w:num w:numId="12" w16cid:durableId="1259287528">
    <w:abstractNumId w:val="25"/>
  </w:num>
  <w:num w:numId="13" w16cid:durableId="95290784">
    <w:abstractNumId w:val="1"/>
  </w:num>
  <w:num w:numId="14" w16cid:durableId="276955386">
    <w:abstractNumId w:val="2"/>
  </w:num>
  <w:num w:numId="15" w16cid:durableId="1423917890">
    <w:abstractNumId w:val="23"/>
  </w:num>
  <w:num w:numId="16" w16cid:durableId="1670257495">
    <w:abstractNumId w:val="26"/>
  </w:num>
  <w:num w:numId="17" w16cid:durableId="1447654058">
    <w:abstractNumId w:val="14"/>
  </w:num>
  <w:num w:numId="18" w16cid:durableId="139229211">
    <w:abstractNumId w:val="12"/>
  </w:num>
  <w:num w:numId="19" w16cid:durableId="1698853319">
    <w:abstractNumId w:val="22"/>
  </w:num>
  <w:num w:numId="20" w16cid:durableId="228807725">
    <w:abstractNumId w:val="24"/>
  </w:num>
  <w:num w:numId="21" w16cid:durableId="519902656">
    <w:abstractNumId w:val="3"/>
  </w:num>
  <w:num w:numId="22" w16cid:durableId="645204106">
    <w:abstractNumId w:val="20"/>
  </w:num>
  <w:num w:numId="23" w16cid:durableId="561405001">
    <w:abstractNumId w:val="19"/>
  </w:num>
  <w:num w:numId="24" w16cid:durableId="1551112797">
    <w:abstractNumId w:val="17"/>
  </w:num>
  <w:num w:numId="25" w16cid:durableId="675426422">
    <w:abstractNumId w:val="13"/>
  </w:num>
  <w:num w:numId="26" w16cid:durableId="802232683">
    <w:abstractNumId w:val="7"/>
  </w:num>
  <w:num w:numId="27" w16cid:durableId="106587305">
    <w:abstractNumId w:val="16"/>
  </w:num>
  <w:num w:numId="28" w16cid:durableId="860169608">
    <w:abstractNumId w:val="28"/>
  </w:num>
  <w:num w:numId="29" w16cid:durableId="1016661720">
    <w:abstractNumId w:val="5"/>
  </w:num>
  <w:num w:numId="30" w16cid:durableId="1867329550">
    <w:abstractNumId w:val="0"/>
  </w:num>
  <w:num w:numId="31" w16cid:durableId="1205941932">
    <w:abstractNumId w:val="29"/>
  </w:num>
  <w:num w:numId="32" w16cid:durableId="1333408655">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25"/>
    <w:rsid w:val="000071D9"/>
    <w:rsid w:val="00007A30"/>
    <w:rsid w:val="0001097E"/>
    <w:rsid w:val="00011EC8"/>
    <w:rsid w:val="00013896"/>
    <w:rsid w:val="00014948"/>
    <w:rsid w:val="0001571B"/>
    <w:rsid w:val="000315DE"/>
    <w:rsid w:val="00040AB9"/>
    <w:rsid w:val="00043A4D"/>
    <w:rsid w:val="00043A65"/>
    <w:rsid w:val="00044A11"/>
    <w:rsid w:val="00051533"/>
    <w:rsid w:val="00052327"/>
    <w:rsid w:val="000549A9"/>
    <w:rsid w:val="00056839"/>
    <w:rsid w:val="000579E2"/>
    <w:rsid w:val="00065E39"/>
    <w:rsid w:val="000722A8"/>
    <w:rsid w:val="000754C6"/>
    <w:rsid w:val="00080D6A"/>
    <w:rsid w:val="00084F3E"/>
    <w:rsid w:val="0008524B"/>
    <w:rsid w:val="000B04CB"/>
    <w:rsid w:val="000B1DD5"/>
    <w:rsid w:val="000B2F75"/>
    <w:rsid w:val="000B33AC"/>
    <w:rsid w:val="000B469A"/>
    <w:rsid w:val="000C579C"/>
    <w:rsid w:val="000D1AC9"/>
    <w:rsid w:val="000D32BE"/>
    <w:rsid w:val="000E395D"/>
    <w:rsid w:val="000E42DF"/>
    <w:rsid w:val="000F1C02"/>
    <w:rsid w:val="00104CF9"/>
    <w:rsid w:val="001136D2"/>
    <w:rsid w:val="00131F52"/>
    <w:rsid w:val="00141A58"/>
    <w:rsid w:val="00142FDE"/>
    <w:rsid w:val="001449A0"/>
    <w:rsid w:val="00145A7B"/>
    <w:rsid w:val="001469B6"/>
    <w:rsid w:val="0014715D"/>
    <w:rsid w:val="00154C3A"/>
    <w:rsid w:val="00155A55"/>
    <w:rsid w:val="00170B64"/>
    <w:rsid w:val="001762BE"/>
    <w:rsid w:val="001776F6"/>
    <w:rsid w:val="00187C0B"/>
    <w:rsid w:val="00190259"/>
    <w:rsid w:val="00191245"/>
    <w:rsid w:val="001921CB"/>
    <w:rsid w:val="001A3581"/>
    <w:rsid w:val="001C7D47"/>
    <w:rsid w:val="001E6C5D"/>
    <w:rsid w:val="001E77AF"/>
    <w:rsid w:val="001F6B42"/>
    <w:rsid w:val="00200E25"/>
    <w:rsid w:val="0021799B"/>
    <w:rsid w:val="0023107D"/>
    <w:rsid w:val="00236CEB"/>
    <w:rsid w:val="00245D22"/>
    <w:rsid w:val="002466B0"/>
    <w:rsid w:val="00250DB7"/>
    <w:rsid w:val="00264087"/>
    <w:rsid w:val="00273EFA"/>
    <w:rsid w:val="00281FC5"/>
    <w:rsid w:val="00293652"/>
    <w:rsid w:val="002A2781"/>
    <w:rsid w:val="002A6A0E"/>
    <w:rsid w:val="002A6D05"/>
    <w:rsid w:val="002A7932"/>
    <w:rsid w:val="002B41F5"/>
    <w:rsid w:val="002C2322"/>
    <w:rsid w:val="002C4ADA"/>
    <w:rsid w:val="002C62D1"/>
    <w:rsid w:val="002D739C"/>
    <w:rsid w:val="002E4C6C"/>
    <w:rsid w:val="00302C98"/>
    <w:rsid w:val="0030499D"/>
    <w:rsid w:val="00306211"/>
    <w:rsid w:val="00310436"/>
    <w:rsid w:val="00310946"/>
    <w:rsid w:val="0031145A"/>
    <w:rsid w:val="00315006"/>
    <w:rsid w:val="003209D9"/>
    <w:rsid w:val="003421FB"/>
    <w:rsid w:val="00352DB6"/>
    <w:rsid w:val="00354C5B"/>
    <w:rsid w:val="00355437"/>
    <w:rsid w:val="00357A0C"/>
    <w:rsid w:val="00366AAC"/>
    <w:rsid w:val="00376748"/>
    <w:rsid w:val="00386A75"/>
    <w:rsid w:val="00386F91"/>
    <w:rsid w:val="00392A05"/>
    <w:rsid w:val="003976E8"/>
    <w:rsid w:val="003A16CB"/>
    <w:rsid w:val="003A2CB2"/>
    <w:rsid w:val="003A7A09"/>
    <w:rsid w:val="003A7C27"/>
    <w:rsid w:val="003B077C"/>
    <w:rsid w:val="003B7A17"/>
    <w:rsid w:val="003C3D3C"/>
    <w:rsid w:val="003C6503"/>
    <w:rsid w:val="003C6BC4"/>
    <w:rsid w:val="003E0472"/>
    <w:rsid w:val="003E064B"/>
    <w:rsid w:val="003E4C17"/>
    <w:rsid w:val="003F3978"/>
    <w:rsid w:val="003F7348"/>
    <w:rsid w:val="00410B69"/>
    <w:rsid w:val="00411408"/>
    <w:rsid w:val="0042101D"/>
    <w:rsid w:val="004243EC"/>
    <w:rsid w:val="00424CAB"/>
    <w:rsid w:val="00424F8C"/>
    <w:rsid w:val="004303AE"/>
    <w:rsid w:val="00432DDB"/>
    <w:rsid w:val="00446276"/>
    <w:rsid w:val="00451A20"/>
    <w:rsid w:val="00451C7B"/>
    <w:rsid w:val="00452D2D"/>
    <w:rsid w:val="0045469C"/>
    <w:rsid w:val="004778C6"/>
    <w:rsid w:val="00485FFE"/>
    <w:rsid w:val="004A7787"/>
    <w:rsid w:val="004B600E"/>
    <w:rsid w:val="004B62A8"/>
    <w:rsid w:val="004C15EB"/>
    <w:rsid w:val="004D2BBE"/>
    <w:rsid w:val="004E41BD"/>
    <w:rsid w:val="004E70F8"/>
    <w:rsid w:val="004F18E6"/>
    <w:rsid w:val="004F2400"/>
    <w:rsid w:val="004F2E79"/>
    <w:rsid w:val="004F38AF"/>
    <w:rsid w:val="00525CD6"/>
    <w:rsid w:val="00531C4F"/>
    <w:rsid w:val="0053550C"/>
    <w:rsid w:val="00535B10"/>
    <w:rsid w:val="00537D69"/>
    <w:rsid w:val="005425AE"/>
    <w:rsid w:val="0055107A"/>
    <w:rsid w:val="00554A7F"/>
    <w:rsid w:val="00556EBA"/>
    <w:rsid w:val="00564233"/>
    <w:rsid w:val="00564AB7"/>
    <w:rsid w:val="0057022A"/>
    <w:rsid w:val="0057034B"/>
    <w:rsid w:val="00573460"/>
    <w:rsid w:val="0057554C"/>
    <w:rsid w:val="00581EA9"/>
    <w:rsid w:val="00583DE0"/>
    <w:rsid w:val="005948D9"/>
    <w:rsid w:val="00596976"/>
    <w:rsid w:val="005D1591"/>
    <w:rsid w:val="005E00CA"/>
    <w:rsid w:val="005E406A"/>
    <w:rsid w:val="005F2752"/>
    <w:rsid w:val="00606B4A"/>
    <w:rsid w:val="006071EA"/>
    <w:rsid w:val="00607CE4"/>
    <w:rsid w:val="0061459B"/>
    <w:rsid w:val="0061687A"/>
    <w:rsid w:val="0062139D"/>
    <w:rsid w:val="00635679"/>
    <w:rsid w:val="0064016F"/>
    <w:rsid w:val="006534B7"/>
    <w:rsid w:val="00664C8B"/>
    <w:rsid w:val="00671047"/>
    <w:rsid w:val="006712DD"/>
    <w:rsid w:val="00677D19"/>
    <w:rsid w:val="00685C42"/>
    <w:rsid w:val="00695335"/>
    <w:rsid w:val="0069631A"/>
    <w:rsid w:val="006974EC"/>
    <w:rsid w:val="006A0C07"/>
    <w:rsid w:val="006B3B4E"/>
    <w:rsid w:val="006B5089"/>
    <w:rsid w:val="006B55F4"/>
    <w:rsid w:val="006B6667"/>
    <w:rsid w:val="006B788D"/>
    <w:rsid w:val="006C074D"/>
    <w:rsid w:val="006C5CAF"/>
    <w:rsid w:val="006C6383"/>
    <w:rsid w:val="006C7EBF"/>
    <w:rsid w:val="006F244F"/>
    <w:rsid w:val="006F5545"/>
    <w:rsid w:val="0070380B"/>
    <w:rsid w:val="00704785"/>
    <w:rsid w:val="00704C5B"/>
    <w:rsid w:val="00712299"/>
    <w:rsid w:val="00715E31"/>
    <w:rsid w:val="0071616E"/>
    <w:rsid w:val="007178F7"/>
    <w:rsid w:val="00722376"/>
    <w:rsid w:val="00730622"/>
    <w:rsid w:val="0073214B"/>
    <w:rsid w:val="00735AE4"/>
    <w:rsid w:val="00740548"/>
    <w:rsid w:val="007424D8"/>
    <w:rsid w:val="007436B4"/>
    <w:rsid w:val="007520C9"/>
    <w:rsid w:val="007552CC"/>
    <w:rsid w:val="0076590C"/>
    <w:rsid w:val="00766C84"/>
    <w:rsid w:val="0077702F"/>
    <w:rsid w:val="00780332"/>
    <w:rsid w:val="00780C91"/>
    <w:rsid w:val="00784A45"/>
    <w:rsid w:val="007905C0"/>
    <w:rsid w:val="007912E7"/>
    <w:rsid w:val="00792C94"/>
    <w:rsid w:val="00793969"/>
    <w:rsid w:val="00795317"/>
    <w:rsid w:val="007965DA"/>
    <w:rsid w:val="007B1554"/>
    <w:rsid w:val="007C1413"/>
    <w:rsid w:val="007C5086"/>
    <w:rsid w:val="007D23CD"/>
    <w:rsid w:val="007D6232"/>
    <w:rsid w:val="007F4046"/>
    <w:rsid w:val="00810D52"/>
    <w:rsid w:val="00817348"/>
    <w:rsid w:val="00830508"/>
    <w:rsid w:val="008318DD"/>
    <w:rsid w:val="00832A16"/>
    <w:rsid w:val="00834534"/>
    <w:rsid w:val="00834D2D"/>
    <w:rsid w:val="00835BB3"/>
    <w:rsid w:val="00846707"/>
    <w:rsid w:val="008608B8"/>
    <w:rsid w:val="00862ECF"/>
    <w:rsid w:val="00875530"/>
    <w:rsid w:val="00881213"/>
    <w:rsid w:val="0088351D"/>
    <w:rsid w:val="00883DBB"/>
    <w:rsid w:val="00885A64"/>
    <w:rsid w:val="00892A5E"/>
    <w:rsid w:val="0089326D"/>
    <w:rsid w:val="008932AE"/>
    <w:rsid w:val="00895393"/>
    <w:rsid w:val="008A00E3"/>
    <w:rsid w:val="008A0675"/>
    <w:rsid w:val="008A3665"/>
    <w:rsid w:val="008A5DB2"/>
    <w:rsid w:val="008B0696"/>
    <w:rsid w:val="008B5A41"/>
    <w:rsid w:val="008B7F16"/>
    <w:rsid w:val="008C7143"/>
    <w:rsid w:val="008D0C1B"/>
    <w:rsid w:val="008D243A"/>
    <w:rsid w:val="008E1C1F"/>
    <w:rsid w:val="008E267A"/>
    <w:rsid w:val="008E6137"/>
    <w:rsid w:val="008F0DEF"/>
    <w:rsid w:val="008F718E"/>
    <w:rsid w:val="00907440"/>
    <w:rsid w:val="00910CCC"/>
    <w:rsid w:val="009153C9"/>
    <w:rsid w:val="00927824"/>
    <w:rsid w:val="009428FB"/>
    <w:rsid w:val="00965BB9"/>
    <w:rsid w:val="009733EC"/>
    <w:rsid w:val="009876A2"/>
    <w:rsid w:val="00993271"/>
    <w:rsid w:val="00994220"/>
    <w:rsid w:val="00997857"/>
    <w:rsid w:val="009A2584"/>
    <w:rsid w:val="009A2DB0"/>
    <w:rsid w:val="009B1FDE"/>
    <w:rsid w:val="009B49EC"/>
    <w:rsid w:val="009B5A7D"/>
    <w:rsid w:val="009C642E"/>
    <w:rsid w:val="009D3878"/>
    <w:rsid w:val="009D3ADD"/>
    <w:rsid w:val="009D7DD0"/>
    <w:rsid w:val="009E2F83"/>
    <w:rsid w:val="009E6E90"/>
    <w:rsid w:val="009E72D9"/>
    <w:rsid w:val="009F3773"/>
    <w:rsid w:val="009F495C"/>
    <w:rsid w:val="00A05059"/>
    <w:rsid w:val="00A2046C"/>
    <w:rsid w:val="00A22484"/>
    <w:rsid w:val="00A26113"/>
    <w:rsid w:val="00A273F4"/>
    <w:rsid w:val="00A33763"/>
    <w:rsid w:val="00A34011"/>
    <w:rsid w:val="00A34FDF"/>
    <w:rsid w:val="00A362B9"/>
    <w:rsid w:val="00A4414A"/>
    <w:rsid w:val="00A551FF"/>
    <w:rsid w:val="00A57213"/>
    <w:rsid w:val="00A61C2C"/>
    <w:rsid w:val="00A625CD"/>
    <w:rsid w:val="00A75044"/>
    <w:rsid w:val="00A86156"/>
    <w:rsid w:val="00A8705F"/>
    <w:rsid w:val="00A918D8"/>
    <w:rsid w:val="00AA0174"/>
    <w:rsid w:val="00AB6300"/>
    <w:rsid w:val="00AC2400"/>
    <w:rsid w:val="00AC2C11"/>
    <w:rsid w:val="00AD151F"/>
    <w:rsid w:val="00AD30E7"/>
    <w:rsid w:val="00AE5DA6"/>
    <w:rsid w:val="00AF312A"/>
    <w:rsid w:val="00AF35D3"/>
    <w:rsid w:val="00AF3C76"/>
    <w:rsid w:val="00AF61B7"/>
    <w:rsid w:val="00B01D83"/>
    <w:rsid w:val="00B07C36"/>
    <w:rsid w:val="00B12DC6"/>
    <w:rsid w:val="00B20F97"/>
    <w:rsid w:val="00B21FFD"/>
    <w:rsid w:val="00B30DB1"/>
    <w:rsid w:val="00B36372"/>
    <w:rsid w:val="00B410D1"/>
    <w:rsid w:val="00B46819"/>
    <w:rsid w:val="00B51C11"/>
    <w:rsid w:val="00B55449"/>
    <w:rsid w:val="00B55CEB"/>
    <w:rsid w:val="00B6054B"/>
    <w:rsid w:val="00B646B5"/>
    <w:rsid w:val="00B712C2"/>
    <w:rsid w:val="00B74FDF"/>
    <w:rsid w:val="00B7651B"/>
    <w:rsid w:val="00B76D3E"/>
    <w:rsid w:val="00B7767F"/>
    <w:rsid w:val="00BA68CC"/>
    <w:rsid w:val="00BB214A"/>
    <w:rsid w:val="00BB59E5"/>
    <w:rsid w:val="00BB74F8"/>
    <w:rsid w:val="00BD143C"/>
    <w:rsid w:val="00BD4FAA"/>
    <w:rsid w:val="00BE033D"/>
    <w:rsid w:val="00BE1059"/>
    <w:rsid w:val="00BE6722"/>
    <w:rsid w:val="00BE7403"/>
    <w:rsid w:val="00BE7FCD"/>
    <w:rsid w:val="00BF68D3"/>
    <w:rsid w:val="00BF70FD"/>
    <w:rsid w:val="00C0130A"/>
    <w:rsid w:val="00C10A1F"/>
    <w:rsid w:val="00C113F0"/>
    <w:rsid w:val="00C16A92"/>
    <w:rsid w:val="00C20699"/>
    <w:rsid w:val="00C227B6"/>
    <w:rsid w:val="00C27DD1"/>
    <w:rsid w:val="00C40D61"/>
    <w:rsid w:val="00C41F3D"/>
    <w:rsid w:val="00C5309B"/>
    <w:rsid w:val="00C542FB"/>
    <w:rsid w:val="00C60B3D"/>
    <w:rsid w:val="00C65A1E"/>
    <w:rsid w:val="00C70CAA"/>
    <w:rsid w:val="00C81574"/>
    <w:rsid w:val="00C86FD5"/>
    <w:rsid w:val="00C93EF8"/>
    <w:rsid w:val="00CA005C"/>
    <w:rsid w:val="00CA0F8D"/>
    <w:rsid w:val="00CB28B8"/>
    <w:rsid w:val="00CC3A02"/>
    <w:rsid w:val="00CD2504"/>
    <w:rsid w:val="00CD479E"/>
    <w:rsid w:val="00D00711"/>
    <w:rsid w:val="00D00812"/>
    <w:rsid w:val="00D03EB5"/>
    <w:rsid w:val="00D134FE"/>
    <w:rsid w:val="00D143CA"/>
    <w:rsid w:val="00D1637B"/>
    <w:rsid w:val="00D215BF"/>
    <w:rsid w:val="00D23CC1"/>
    <w:rsid w:val="00D25880"/>
    <w:rsid w:val="00D315F1"/>
    <w:rsid w:val="00D37506"/>
    <w:rsid w:val="00D416A3"/>
    <w:rsid w:val="00D42415"/>
    <w:rsid w:val="00D4306F"/>
    <w:rsid w:val="00D46844"/>
    <w:rsid w:val="00D52798"/>
    <w:rsid w:val="00D56F13"/>
    <w:rsid w:val="00D57A83"/>
    <w:rsid w:val="00D63557"/>
    <w:rsid w:val="00D65252"/>
    <w:rsid w:val="00D65F4A"/>
    <w:rsid w:val="00D7025B"/>
    <w:rsid w:val="00D76168"/>
    <w:rsid w:val="00D81917"/>
    <w:rsid w:val="00D82996"/>
    <w:rsid w:val="00D90357"/>
    <w:rsid w:val="00D9604F"/>
    <w:rsid w:val="00DA1EC5"/>
    <w:rsid w:val="00DA6B3A"/>
    <w:rsid w:val="00DB1C39"/>
    <w:rsid w:val="00DC5BE4"/>
    <w:rsid w:val="00DC6456"/>
    <w:rsid w:val="00DD0877"/>
    <w:rsid w:val="00DD15C4"/>
    <w:rsid w:val="00DE47CB"/>
    <w:rsid w:val="00DE6BD8"/>
    <w:rsid w:val="00DF418B"/>
    <w:rsid w:val="00DF44F3"/>
    <w:rsid w:val="00E11A38"/>
    <w:rsid w:val="00E1269A"/>
    <w:rsid w:val="00E16A40"/>
    <w:rsid w:val="00E2446C"/>
    <w:rsid w:val="00E33ED5"/>
    <w:rsid w:val="00E42E85"/>
    <w:rsid w:val="00E4424C"/>
    <w:rsid w:val="00E506E3"/>
    <w:rsid w:val="00E507F1"/>
    <w:rsid w:val="00E52387"/>
    <w:rsid w:val="00E57EA9"/>
    <w:rsid w:val="00E605AB"/>
    <w:rsid w:val="00E62DA9"/>
    <w:rsid w:val="00E72390"/>
    <w:rsid w:val="00EA7CDF"/>
    <w:rsid w:val="00EB0932"/>
    <w:rsid w:val="00EC14A3"/>
    <w:rsid w:val="00EC6EBE"/>
    <w:rsid w:val="00ED039C"/>
    <w:rsid w:val="00ED1F5C"/>
    <w:rsid w:val="00ED3AA5"/>
    <w:rsid w:val="00ED4DE5"/>
    <w:rsid w:val="00ED7021"/>
    <w:rsid w:val="00EE2EAD"/>
    <w:rsid w:val="00EE6024"/>
    <w:rsid w:val="00EE6AC8"/>
    <w:rsid w:val="00EE6F47"/>
    <w:rsid w:val="00F10A77"/>
    <w:rsid w:val="00F1367C"/>
    <w:rsid w:val="00F21E4D"/>
    <w:rsid w:val="00F27584"/>
    <w:rsid w:val="00F3011A"/>
    <w:rsid w:val="00F30D05"/>
    <w:rsid w:val="00F4153B"/>
    <w:rsid w:val="00F451EC"/>
    <w:rsid w:val="00F460B1"/>
    <w:rsid w:val="00F542C3"/>
    <w:rsid w:val="00F54849"/>
    <w:rsid w:val="00F55C5C"/>
    <w:rsid w:val="00F64ADF"/>
    <w:rsid w:val="00F70D94"/>
    <w:rsid w:val="00F735DD"/>
    <w:rsid w:val="00F77223"/>
    <w:rsid w:val="00F8165D"/>
    <w:rsid w:val="00F81D12"/>
    <w:rsid w:val="00F825FD"/>
    <w:rsid w:val="00F90FBA"/>
    <w:rsid w:val="00F96D05"/>
    <w:rsid w:val="00FA2E1B"/>
    <w:rsid w:val="00FA52F1"/>
    <w:rsid w:val="00FC580E"/>
    <w:rsid w:val="00FD1AD8"/>
    <w:rsid w:val="00FD639D"/>
    <w:rsid w:val="00FD691B"/>
    <w:rsid w:val="00FE05B1"/>
    <w:rsid w:val="00FE6540"/>
    <w:rsid w:val="00FF5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290FBA"/>
  <w15:docId w15:val="{1FDBFFA8-A850-468A-B5DE-13ED9DD2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525CD6"/>
    <w:pPr>
      <w:keepNext/>
      <w:outlineLvl w:val="0"/>
    </w:pPr>
    <w:rPr>
      <w:rFonts w:ascii="Arial" w:hAnsi="Arial" w:cs="Arial"/>
      <w:b/>
      <w:kern w:val="32"/>
      <w:sz w:val="28"/>
    </w:rPr>
  </w:style>
  <w:style w:type="paragraph" w:styleId="Heading2">
    <w:name w:val="heading 2"/>
    <w:basedOn w:val="Normal"/>
    <w:next w:val="Normal"/>
    <w:link w:val="Heading2Char"/>
    <w:autoRedefine/>
    <w:uiPriority w:val="99"/>
    <w:qFormat/>
    <w:rsid w:val="00EE6AC8"/>
    <w:pPr>
      <w:numPr>
        <w:ilvl w:val="1"/>
      </w:numPr>
      <w:tabs>
        <w:tab w:val="left" w:pos="0"/>
      </w:tabs>
      <w:ind w:left="709"/>
      <w:outlineLvl w:val="1"/>
    </w:pPr>
    <w:rPr>
      <w:rFonts w:ascii="Arial" w:hAnsi="Arial" w:cs="Arial"/>
      <w:bCs/>
      <w:iCs/>
    </w:rPr>
  </w:style>
  <w:style w:type="paragraph" w:styleId="Heading3">
    <w:name w:val="heading 3"/>
    <w:basedOn w:val="Normal"/>
    <w:next w:val="Normal"/>
    <w:link w:val="Heading3Char"/>
    <w:uiPriority w:val="9"/>
    <w:unhideWhenUsed/>
    <w:qFormat/>
    <w:rsid w:val="00766C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00E25"/>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200E25"/>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200E2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200E25"/>
    <w:pPr>
      <w:numPr>
        <w:ilvl w:val="6"/>
        <w:numId w:val="1"/>
      </w:numPr>
      <w:spacing w:before="240" w:after="60"/>
      <w:outlineLvl w:val="6"/>
    </w:pPr>
  </w:style>
  <w:style w:type="paragraph" w:styleId="Heading8">
    <w:name w:val="heading 8"/>
    <w:basedOn w:val="Normal"/>
    <w:next w:val="Normal"/>
    <w:link w:val="Heading8Char"/>
    <w:uiPriority w:val="99"/>
    <w:qFormat/>
    <w:rsid w:val="00200E25"/>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200E2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5CD6"/>
    <w:rPr>
      <w:rFonts w:ascii="Arial" w:eastAsia="Times New Roman" w:hAnsi="Arial" w:cs="Arial"/>
      <w:b/>
      <w:kern w:val="32"/>
      <w:sz w:val="28"/>
      <w:szCs w:val="24"/>
    </w:rPr>
  </w:style>
  <w:style w:type="character" w:customStyle="1" w:styleId="Heading2Char">
    <w:name w:val="Heading 2 Char"/>
    <w:basedOn w:val="DefaultParagraphFont"/>
    <w:link w:val="Heading2"/>
    <w:uiPriority w:val="99"/>
    <w:rsid w:val="00EE6AC8"/>
    <w:rPr>
      <w:rFonts w:ascii="Arial" w:eastAsia="Times New Roman" w:hAnsi="Arial" w:cs="Arial"/>
      <w:bCs/>
      <w:iCs/>
      <w:sz w:val="24"/>
      <w:szCs w:val="24"/>
    </w:rPr>
  </w:style>
  <w:style w:type="character" w:customStyle="1" w:styleId="Heading4Char">
    <w:name w:val="Heading 4 Char"/>
    <w:basedOn w:val="DefaultParagraphFont"/>
    <w:link w:val="Heading4"/>
    <w:uiPriority w:val="99"/>
    <w:rsid w:val="00200E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200E2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200E25"/>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00E2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200E2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200E25"/>
    <w:rPr>
      <w:rFonts w:ascii="Arial" w:eastAsia="Times New Roman" w:hAnsi="Arial" w:cs="Arial"/>
    </w:rPr>
  </w:style>
  <w:style w:type="paragraph" w:styleId="ListParagraph">
    <w:name w:val="List Paragraph"/>
    <w:aliases w:val="F5 List Paragraph"/>
    <w:basedOn w:val="Normal"/>
    <w:link w:val="ListParagraphChar"/>
    <w:uiPriority w:val="34"/>
    <w:qFormat/>
    <w:rsid w:val="00200E25"/>
    <w:pPr>
      <w:numPr>
        <w:numId w:val="2"/>
      </w:numPr>
      <w:spacing w:before="120"/>
      <w:ind w:left="2268" w:hanging="425"/>
      <w:jc w:val="both"/>
    </w:pPr>
    <w:rPr>
      <w:rFonts w:ascii="Arial" w:hAnsi="Arial" w:cs="Arial"/>
    </w:rPr>
  </w:style>
  <w:style w:type="paragraph" w:customStyle="1" w:styleId="FOREWORD">
    <w:name w:val="FOREWORD"/>
    <w:basedOn w:val="Heading1"/>
    <w:uiPriority w:val="99"/>
    <w:rsid w:val="00200E25"/>
  </w:style>
  <w:style w:type="paragraph" w:styleId="Header">
    <w:name w:val="header"/>
    <w:basedOn w:val="Normal"/>
    <w:link w:val="HeaderChar"/>
    <w:uiPriority w:val="99"/>
    <w:unhideWhenUsed/>
    <w:rsid w:val="00200E25"/>
    <w:pPr>
      <w:tabs>
        <w:tab w:val="center" w:pos="4513"/>
        <w:tab w:val="right" w:pos="9026"/>
      </w:tabs>
    </w:pPr>
  </w:style>
  <w:style w:type="character" w:customStyle="1" w:styleId="HeaderChar">
    <w:name w:val="Header Char"/>
    <w:basedOn w:val="DefaultParagraphFont"/>
    <w:link w:val="Header"/>
    <w:uiPriority w:val="99"/>
    <w:rsid w:val="00200E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0E25"/>
    <w:pPr>
      <w:tabs>
        <w:tab w:val="center" w:pos="4513"/>
        <w:tab w:val="right" w:pos="9026"/>
      </w:tabs>
    </w:pPr>
  </w:style>
  <w:style w:type="character" w:customStyle="1" w:styleId="FooterChar">
    <w:name w:val="Footer Char"/>
    <w:basedOn w:val="DefaultParagraphFont"/>
    <w:link w:val="Footer"/>
    <w:uiPriority w:val="99"/>
    <w:rsid w:val="00200E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665"/>
    <w:rPr>
      <w:rFonts w:ascii="Tahoma" w:hAnsi="Tahoma" w:cs="Tahoma"/>
      <w:sz w:val="16"/>
      <w:szCs w:val="16"/>
    </w:rPr>
  </w:style>
  <w:style w:type="character" w:customStyle="1" w:styleId="BalloonTextChar">
    <w:name w:val="Balloon Text Char"/>
    <w:basedOn w:val="DefaultParagraphFont"/>
    <w:link w:val="BalloonText"/>
    <w:uiPriority w:val="99"/>
    <w:semiHidden/>
    <w:rsid w:val="008A3665"/>
    <w:rPr>
      <w:rFonts w:ascii="Tahoma" w:eastAsia="Times New Roman" w:hAnsi="Tahoma" w:cs="Tahoma"/>
      <w:sz w:val="16"/>
      <w:szCs w:val="16"/>
    </w:rPr>
  </w:style>
  <w:style w:type="character" w:customStyle="1" w:styleId="Heading3Char">
    <w:name w:val="Heading 3 Char"/>
    <w:basedOn w:val="DefaultParagraphFont"/>
    <w:link w:val="Heading3"/>
    <w:uiPriority w:val="9"/>
    <w:rsid w:val="00766C8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D1637B"/>
    <w:rPr>
      <w:sz w:val="16"/>
      <w:szCs w:val="16"/>
    </w:rPr>
  </w:style>
  <w:style w:type="paragraph" w:styleId="CommentText">
    <w:name w:val="annotation text"/>
    <w:basedOn w:val="Normal"/>
    <w:link w:val="CommentTextChar"/>
    <w:uiPriority w:val="99"/>
    <w:unhideWhenUsed/>
    <w:rsid w:val="00D1637B"/>
    <w:rPr>
      <w:sz w:val="20"/>
      <w:szCs w:val="20"/>
    </w:rPr>
  </w:style>
  <w:style w:type="character" w:customStyle="1" w:styleId="CommentTextChar">
    <w:name w:val="Comment Text Char"/>
    <w:basedOn w:val="DefaultParagraphFont"/>
    <w:link w:val="CommentText"/>
    <w:uiPriority w:val="99"/>
    <w:rsid w:val="00D163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637B"/>
    <w:rPr>
      <w:b/>
      <w:bCs/>
    </w:rPr>
  </w:style>
  <w:style w:type="character" w:customStyle="1" w:styleId="CommentSubjectChar">
    <w:name w:val="Comment Subject Char"/>
    <w:basedOn w:val="CommentTextChar"/>
    <w:link w:val="CommentSubject"/>
    <w:uiPriority w:val="99"/>
    <w:semiHidden/>
    <w:rsid w:val="00D1637B"/>
    <w:rPr>
      <w:rFonts w:ascii="Times New Roman" w:eastAsia="Times New Roman" w:hAnsi="Times New Roman" w:cs="Times New Roman"/>
      <w:b/>
      <w:bCs/>
      <w:sz w:val="20"/>
      <w:szCs w:val="20"/>
    </w:rPr>
  </w:style>
  <w:style w:type="paragraph" w:styleId="Revision">
    <w:name w:val="Revision"/>
    <w:hidden/>
    <w:uiPriority w:val="99"/>
    <w:semiHidden/>
    <w:rsid w:val="00BA68CC"/>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8A0675"/>
    <w:rPr>
      <w:rFonts w:cs="Times New Roman"/>
      <w:color w:val="0000FF"/>
      <w:u w:val="single"/>
    </w:rPr>
  </w:style>
  <w:style w:type="paragraph" w:styleId="BodyText3">
    <w:name w:val="Body Text 3"/>
    <w:basedOn w:val="Normal"/>
    <w:link w:val="BodyText3Char"/>
    <w:unhideWhenUsed/>
    <w:rsid w:val="00245D22"/>
    <w:pPr>
      <w:jc w:val="both"/>
    </w:pPr>
    <w:rPr>
      <w:rFonts w:ascii="Arial" w:hAnsi="Arial"/>
      <w:sz w:val="22"/>
      <w:szCs w:val="20"/>
    </w:rPr>
  </w:style>
  <w:style w:type="character" w:customStyle="1" w:styleId="BodyText3Char">
    <w:name w:val="Body Text 3 Char"/>
    <w:basedOn w:val="DefaultParagraphFont"/>
    <w:link w:val="BodyText3"/>
    <w:rsid w:val="00245D22"/>
    <w:rPr>
      <w:rFonts w:ascii="Arial" w:eastAsia="Times New Roman" w:hAnsi="Arial" w:cs="Times New Roman"/>
      <w:szCs w:val="20"/>
    </w:rPr>
  </w:style>
  <w:style w:type="paragraph" w:styleId="PlainText">
    <w:name w:val="Plain Text"/>
    <w:basedOn w:val="Normal"/>
    <w:link w:val="PlainTextChar"/>
    <w:uiPriority w:val="99"/>
    <w:semiHidden/>
    <w:unhideWhenUsed/>
    <w:rsid w:val="007D23CD"/>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7D23CD"/>
    <w:rPr>
      <w:rFonts w:ascii="Calibri" w:hAnsi="Calibri" w:cs="Calibri"/>
    </w:rPr>
  </w:style>
  <w:style w:type="paragraph" w:customStyle="1" w:styleId="MyHeading1">
    <w:name w:val="My Heading 1"/>
    <w:basedOn w:val="Normal"/>
    <w:rsid w:val="000549A9"/>
    <w:rPr>
      <w:rFonts w:ascii="Arial" w:hAnsi="Arial" w:cs="Arial"/>
      <w:b/>
      <w:sz w:val="28"/>
      <w:szCs w:val="28"/>
    </w:rPr>
  </w:style>
  <w:style w:type="paragraph" w:styleId="BodyText">
    <w:name w:val="Body Text"/>
    <w:basedOn w:val="Normal"/>
    <w:link w:val="BodyTextChar"/>
    <w:uiPriority w:val="99"/>
    <w:unhideWhenUsed/>
    <w:rsid w:val="00141A58"/>
    <w:pPr>
      <w:spacing w:after="120"/>
    </w:pPr>
  </w:style>
  <w:style w:type="character" w:customStyle="1" w:styleId="BodyTextChar">
    <w:name w:val="Body Text Char"/>
    <w:basedOn w:val="DefaultParagraphFont"/>
    <w:link w:val="BodyText"/>
    <w:uiPriority w:val="99"/>
    <w:rsid w:val="00141A58"/>
    <w:rPr>
      <w:rFonts w:ascii="Times New Roman" w:eastAsia="Times New Roman" w:hAnsi="Times New Roman" w:cs="Times New Roman"/>
      <w:sz w:val="24"/>
      <w:szCs w:val="24"/>
    </w:rPr>
  </w:style>
  <w:style w:type="character" w:styleId="FootnoteReference">
    <w:name w:val="footnote reference"/>
    <w:semiHidden/>
    <w:rsid w:val="0076590C"/>
    <w:rPr>
      <w:position w:val="6"/>
      <w:sz w:val="16"/>
    </w:rPr>
  </w:style>
  <w:style w:type="paragraph" w:styleId="FootnoteText">
    <w:name w:val="footnote text"/>
    <w:basedOn w:val="Normal"/>
    <w:link w:val="FootnoteTextChar"/>
    <w:semiHidden/>
    <w:rsid w:val="0076590C"/>
    <w:rPr>
      <w:rFonts w:ascii="CG Times" w:hAnsi="CG Times"/>
      <w:sz w:val="20"/>
      <w:szCs w:val="20"/>
    </w:rPr>
  </w:style>
  <w:style w:type="character" w:customStyle="1" w:styleId="FootnoteTextChar">
    <w:name w:val="Footnote Text Char"/>
    <w:basedOn w:val="DefaultParagraphFont"/>
    <w:link w:val="FootnoteText"/>
    <w:semiHidden/>
    <w:rsid w:val="0076590C"/>
    <w:rPr>
      <w:rFonts w:ascii="CG Times" w:eastAsia="Times New Roman" w:hAnsi="CG Times" w:cs="Times New Roman"/>
      <w:sz w:val="20"/>
      <w:szCs w:val="20"/>
    </w:rPr>
  </w:style>
  <w:style w:type="table" w:styleId="TableGrid">
    <w:name w:val="Table Grid"/>
    <w:basedOn w:val="TableNormal"/>
    <w:uiPriority w:val="59"/>
    <w:rsid w:val="00F8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
    <w:link w:val="ListParagraph"/>
    <w:uiPriority w:val="34"/>
    <w:locked/>
    <w:rsid w:val="009B49EC"/>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2D739C"/>
    <w:rPr>
      <w:color w:val="605E5C"/>
      <w:shd w:val="clear" w:color="auto" w:fill="E1DFDD"/>
    </w:rPr>
  </w:style>
  <w:style w:type="character" w:customStyle="1" w:styleId="BodycopyChar">
    <w:name w:val="Body copy Char"/>
    <w:basedOn w:val="DefaultParagraphFont"/>
    <w:link w:val="Bodycopy"/>
    <w:locked/>
    <w:rsid w:val="009F3773"/>
    <w:rPr>
      <w:rFonts w:ascii="Arial" w:hAnsi="Arial" w:cs="Arial"/>
    </w:rPr>
  </w:style>
  <w:style w:type="paragraph" w:customStyle="1" w:styleId="Bodycopy">
    <w:name w:val="Body copy"/>
    <w:basedOn w:val="Normal"/>
    <w:link w:val="BodycopyChar"/>
    <w:rsid w:val="009F3773"/>
    <w:rPr>
      <w:rFonts w:ascii="Arial" w:eastAsiaTheme="minorHAnsi" w:hAnsi="Arial" w:cs="Arial"/>
      <w:sz w:val="22"/>
      <w:szCs w:val="22"/>
    </w:rPr>
  </w:style>
  <w:style w:type="paragraph" w:styleId="NormalWeb">
    <w:name w:val="Normal (Web)"/>
    <w:basedOn w:val="Normal"/>
    <w:uiPriority w:val="99"/>
    <w:unhideWhenUsed/>
    <w:rsid w:val="003E4C17"/>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CD479E"/>
    <w:rPr>
      <w:color w:val="605E5C"/>
      <w:shd w:val="clear" w:color="auto" w:fill="E1DFDD"/>
    </w:rPr>
  </w:style>
  <w:style w:type="paragraph" w:styleId="NoSpacing">
    <w:name w:val="No Spacing"/>
    <w:uiPriority w:val="1"/>
    <w:qFormat/>
    <w:rsid w:val="00FD1AD8"/>
    <w:pPr>
      <w:spacing w:after="0" w:line="240" w:lineRule="auto"/>
    </w:pPr>
  </w:style>
  <w:style w:type="character" w:customStyle="1" w:styleId="ui-provider">
    <w:name w:val="ui-provider"/>
    <w:basedOn w:val="DefaultParagraphFont"/>
    <w:rsid w:val="0026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178">
      <w:bodyDiv w:val="1"/>
      <w:marLeft w:val="0"/>
      <w:marRight w:val="0"/>
      <w:marTop w:val="0"/>
      <w:marBottom w:val="0"/>
      <w:divBdr>
        <w:top w:val="none" w:sz="0" w:space="0" w:color="auto"/>
        <w:left w:val="none" w:sz="0" w:space="0" w:color="auto"/>
        <w:bottom w:val="none" w:sz="0" w:space="0" w:color="auto"/>
        <w:right w:val="none" w:sz="0" w:space="0" w:color="auto"/>
      </w:divBdr>
    </w:div>
    <w:div w:id="218711487">
      <w:bodyDiv w:val="1"/>
      <w:marLeft w:val="0"/>
      <w:marRight w:val="0"/>
      <w:marTop w:val="0"/>
      <w:marBottom w:val="0"/>
      <w:divBdr>
        <w:top w:val="none" w:sz="0" w:space="0" w:color="auto"/>
        <w:left w:val="none" w:sz="0" w:space="0" w:color="auto"/>
        <w:bottom w:val="none" w:sz="0" w:space="0" w:color="auto"/>
        <w:right w:val="none" w:sz="0" w:space="0" w:color="auto"/>
      </w:divBdr>
    </w:div>
    <w:div w:id="282813166">
      <w:bodyDiv w:val="1"/>
      <w:marLeft w:val="0"/>
      <w:marRight w:val="0"/>
      <w:marTop w:val="0"/>
      <w:marBottom w:val="0"/>
      <w:divBdr>
        <w:top w:val="none" w:sz="0" w:space="0" w:color="auto"/>
        <w:left w:val="none" w:sz="0" w:space="0" w:color="auto"/>
        <w:bottom w:val="none" w:sz="0" w:space="0" w:color="auto"/>
        <w:right w:val="none" w:sz="0" w:space="0" w:color="auto"/>
      </w:divBdr>
    </w:div>
    <w:div w:id="386882326">
      <w:bodyDiv w:val="1"/>
      <w:marLeft w:val="0"/>
      <w:marRight w:val="0"/>
      <w:marTop w:val="0"/>
      <w:marBottom w:val="0"/>
      <w:divBdr>
        <w:top w:val="none" w:sz="0" w:space="0" w:color="auto"/>
        <w:left w:val="none" w:sz="0" w:space="0" w:color="auto"/>
        <w:bottom w:val="none" w:sz="0" w:space="0" w:color="auto"/>
        <w:right w:val="none" w:sz="0" w:space="0" w:color="auto"/>
      </w:divBdr>
    </w:div>
    <w:div w:id="744567571">
      <w:bodyDiv w:val="1"/>
      <w:marLeft w:val="0"/>
      <w:marRight w:val="0"/>
      <w:marTop w:val="0"/>
      <w:marBottom w:val="0"/>
      <w:divBdr>
        <w:top w:val="none" w:sz="0" w:space="0" w:color="auto"/>
        <w:left w:val="none" w:sz="0" w:space="0" w:color="auto"/>
        <w:bottom w:val="none" w:sz="0" w:space="0" w:color="auto"/>
        <w:right w:val="none" w:sz="0" w:space="0" w:color="auto"/>
      </w:divBdr>
    </w:div>
    <w:div w:id="785268443">
      <w:bodyDiv w:val="1"/>
      <w:marLeft w:val="0"/>
      <w:marRight w:val="0"/>
      <w:marTop w:val="0"/>
      <w:marBottom w:val="0"/>
      <w:divBdr>
        <w:top w:val="none" w:sz="0" w:space="0" w:color="auto"/>
        <w:left w:val="none" w:sz="0" w:space="0" w:color="auto"/>
        <w:bottom w:val="none" w:sz="0" w:space="0" w:color="auto"/>
        <w:right w:val="none" w:sz="0" w:space="0" w:color="auto"/>
      </w:divBdr>
    </w:div>
    <w:div w:id="1175069402">
      <w:bodyDiv w:val="1"/>
      <w:marLeft w:val="0"/>
      <w:marRight w:val="0"/>
      <w:marTop w:val="0"/>
      <w:marBottom w:val="0"/>
      <w:divBdr>
        <w:top w:val="none" w:sz="0" w:space="0" w:color="auto"/>
        <w:left w:val="none" w:sz="0" w:space="0" w:color="auto"/>
        <w:bottom w:val="none" w:sz="0" w:space="0" w:color="auto"/>
        <w:right w:val="none" w:sz="0" w:space="0" w:color="auto"/>
      </w:divBdr>
    </w:div>
    <w:div w:id="1875118610">
      <w:bodyDiv w:val="1"/>
      <w:marLeft w:val="0"/>
      <w:marRight w:val="0"/>
      <w:marTop w:val="0"/>
      <w:marBottom w:val="0"/>
      <w:divBdr>
        <w:top w:val="none" w:sz="0" w:space="0" w:color="auto"/>
        <w:left w:val="none" w:sz="0" w:space="0" w:color="auto"/>
        <w:bottom w:val="none" w:sz="0" w:space="0" w:color="auto"/>
        <w:right w:val="none" w:sz="0" w:space="0" w:color="auto"/>
      </w:divBdr>
    </w:div>
    <w:div w:id="21355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ginform.local.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svrp.co.uk/information" TargetMode="External"/><Relationship Id="rId5" Type="http://schemas.openxmlformats.org/officeDocument/2006/relationships/webSettings" Target="webSettings.xml"/><Relationship Id="rId15" Type="http://schemas.openxmlformats.org/officeDocument/2006/relationships/oleObject" Target="embeddings/Microsoft_Word_97_-_2003_Document.doc"/><Relationship Id="rId10" Type="http://schemas.openxmlformats.org/officeDocument/2006/relationships/hyperlink" Target="mailto:VRP@Notts.police.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RP@Notts.police.uk"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80A1-1E67-4007-9125-FBFB3FE6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2268</Words>
  <Characters>12934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Curnow, Katrina</dc:creator>
  <cp:lastModifiedBy>Robbie Andrews</cp:lastModifiedBy>
  <cp:revision>2</cp:revision>
  <cp:lastPrinted>2022-06-21T06:55:00Z</cp:lastPrinted>
  <dcterms:created xsi:type="dcterms:W3CDTF">2023-08-08T08:25:00Z</dcterms:created>
  <dcterms:modified xsi:type="dcterms:W3CDTF">2023-08-10T15:19:33Z</dcterms:modified>
  <dc:title>RFP FTE v1.0</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ce26-a5ec-40e7-bce9-ae32956a3343_Enabled">
    <vt:lpwstr>True</vt:lpwstr>
  </property>
  <property fmtid="{D5CDD505-2E9C-101B-9397-08002B2CF9AE}" pid="3" name="MSIP_Label_b34ace26-a5ec-40e7-bce9-ae32956a3343_SiteId">
    <vt:lpwstr>1333559a-439a-4a0a-bdc0-a46cd38882d7</vt:lpwstr>
  </property>
  <property fmtid="{D5CDD505-2E9C-101B-9397-08002B2CF9AE}" pid="4" name="MSIP_Label_b34ace26-a5ec-40e7-bce9-ae32956a3343_SetDate">
    <vt:lpwstr>2021-11-11T09:16:20Z</vt:lpwstr>
  </property>
  <property fmtid="{D5CDD505-2E9C-101B-9397-08002B2CF9AE}" pid="5" name="MSIP_Label_b34ace26-a5ec-40e7-bce9-ae32956a3343_Name">
    <vt:lpwstr>b34ace26-a5ec-40e7-bce9-ae32956a3343</vt:lpwstr>
  </property>
  <property fmtid="{D5CDD505-2E9C-101B-9397-08002B2CF9AE}" pid="6" name="MSIP_Label_0c9a534a-49dd-43c4-b4e5-f206b4dbf0e4_Enabled">
    <vt:lpwstr>true</vt:lpwstr>
  </property>
  <property fmtid="{D5CDD505-2E9C-101B-9397-08002B2CF9AE}" pid="7" name="MSIP_Label_0c9a534a-49dd-43c4-b4e5-f206b4dbf0e4_SetDate">
    <vt:lpwstr>2022-06-06T12:16:15Z</vt:lpwstr>
  </property>
  <property fmtid="{D5CDD505-2E9C-101B-9397-08002B2CF9AE}" pid="8" name="MSIP_Label_0c9a534a-49dd-43c4-b4e5-f206b4dbf0e4_Method">
    <vt:lpwstr>Standard</vt:lpwstr>
  </property>
  <property fmtid="{D5CDD505-2E9C-101B-9397-08002B2CF9AE}" pid="9" name="MSIP_Label_0c9a534a-49dd-43c4-b4e5-f206b4dbf0e4_Name">
    <vt:lpwstr>0c9a534a-49dd-43c4-b4e5-f206b4dbf0e4</vt:lpwstr>
  </property>
  <property fmtid="{D5CDD505-2E9C-101B-9397-08002B2CF9AE}" pid="10" name="MSIP_Label_0c9a534a-49dd-43c4-b4e5-f206b4dbf0e4_SiteId">
    <vt:lpwstr>50b6682b-e9dd-4d2c-b984-100e69b077a4</vt:lpwstr>
  </property>
  <property fmtid="{D5CDD505-2E9C-101B-9397-08002B2CF9AE}" pid="11" name="MSIP_Label_0c9a534a-49dd-43c4-b4e5-f206b4dbf0e4_ContentBits">
    <vt:lpwstr>0</vt:lpwstr>
  </property>
</Properties>
</file>