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672"/>
        <w:gridCol w:w="6969"/>
      </w:tblGrid>
      <w:tr w:rsidRPr="004D3483" w:rsidR="00C843AA" w:rsidTr="0075550A" w14:paraId="17877DA9" w14:textId="77777777">
        <w:trPr>
          <w:trHeight w:val="271"/>
        </w:trPr>
        <w:tc>
          <w:tcPr>
            <w:tcW w:w="9641" w:type="dxa"/>
            <w:gridSpan w:val="2"/>
          </w:tcPr>
          <w:p w:rsidRPr="00826D93" w:rsidR="00C843AA" w:rsidP="0075550A" w:rsidRDefault="00C843AA" w14:paraId="1C4ED67F" w14:textId="77777777">
            <w:pPr>
              <w:pStyle w:val="NoSpacing"/>
              <w:tabs>
                <w:tab w:val="left" w:pos="567"/>
              </w:tabs>
              <w:ind w:right="-54"/>
              <w:jc w:val="both"/>
              <w:rPr>
                <w:rFonts w:ascii="Arial" w:hAnsi="Arial" w:cs="Arial"/>
                <w:b/>
                <w:sz w:val="24"/>
                <w:szCs w:val="24"/>
              </w:rPr>
            </w:pPr>
            <w:r>
              <w:rPr>
                <w:rFonts w:ascii="Arial" w:hAnsi="Arial" w:cs="Arial"/>
                <w:b/>
                <w:sz w:val="24"/>
                <w:szCs w:val="24"/>
              </w:rPr>
              <w:t xml:space="preserve">For Information </w:t>
            </w:r>
          </w:p>
        </w:tc>
      </w:tr>
      <w:tr w:rsidRPr="004D3483" w:rsidR="00C843AA" w:rsidTr="0075550A" w14:paraId="6D552E9D" w14:textId="77777777">
        <w:trPr>
          <w:trHeight w:val="227"/>
        </w:trPr>
        <w:tc>
          <w:tcPr>
            <w:tcW w:w="2672" w:type="dxa"/>
          </w:tcPr>
          <w:p w:rsidRPr="00826D93" w:rsidR="00C843AA" w:rsidP="0075550A" w:rsidRDefault="00C843AA" w14:paraId="43EC86B9" w14:textId="77777777">
            <w:pPr>
              <w:pStyle w:val="NoSpacing"/>
              <w:tabs>
                <w:tab w:val="left" w:pos="567"/>
              </w:tabs>
              <w:ind w:right="-54"/>
              <w:jc w:val="both"/>
              <w:rPr>
                <w:rFonts w:ascii="Arial" w:hAnsi="Arial" w:cs="Arial"/>
                <w:b/>
                <w:sz w:val="24"/>
                <w:szCs w:val="24"/>
              </w:rPr>
            </w:pPr>
            <w:r>
              <w:rPr>
                <w:rFonts w:ascii="Arial" w:hAnsi="Arial" w:cs="Arial"/>
                <w:b/>
                <w:sz w:val="24"/>
                <w:szCs w:val="24"/>
              </w:rPr>
              <w:t>Public</w:t>
            </w:r>
          </w:p>
        </w:tc>
        <w:tc>
          <w:tcPr>
            <w:tcW w:w="6969" w:type="dxa"/>
          </w:tcPr>
          <w:p w:rsidRPr="00103AFD" w:rsidR="00C843AA" w:rsidP="0075550A" w:rsidRDefault="001C5E68" w14:paraId="63F9483D" w14:textId="77777777">
            <w:pPr>
              <w:pStyle w:val="NoSpacing"/>
              <w:tabs>
                <w:tab w:val="left" w:pos="567"/>
              </w:tabs>
              <w:ind w:right="-54"/>
              <w:jc w:val="both"/>
              <w:rPr>
                <w:rFonts w:ascii="Arial" w:hAnsi="Arial" w:cs="Arial"/>
                <w:bCs/>
                <w:sz w:val="24"/>
                <w:szCs w:val="24"/>
              </w:rPr>
            </w:pPr>
            <w:r w:rsidRPr="00103AFD">
              <w:rPr>
                <w:rFonts w:ascii="Arial" w:hAnsi="Arial" w:cs="Arial"/>
                <w:bCs/>
                <w:sz w:val="24"/>
                <w:szCs w:val="24"/>
              </w:rPr>
              <w:t>Public</w:t>
            </w:r>
          </w:p>
        </w:tc>
      </w:tr>
      <w:tr w:rsidRPr="004D3483" w:rsidR="00C843AA" w:rsidTr="0075550A" w14:paraId="4BD1E0DD" w14:textId="77777777">
        <w:trPr>
          <w:trHeight w:val="227"/>
        </w:trPr>
        <w:tc>
          <w:tcPr>
            <w:tcW w:w="2672" w:type="dxa"/>
          </w:tcPr>
          <w:p w:rsidRPr="00826D93" w:rsidR="0075550A" w:rsidP="0075550A" w:rsidRDefault="00C843AA" w14:paraId="77EA30CC" w14:textId="71896BC0">
            <w:pPr>
              <w:pStyle w:val="NoSpacing"/>
              <w:tabs>
                <w:tab w:val="left" w:pos="567"/>
              </w:tabs>
              <w:ind w:right="-54"/>
              <w:jc w:val="both"/>
              <w:rPr>
                <w:rFonts w:ascii="Arial" w:hAnsi="Arial" w:cs="Arial"/>
                <w:b/>
                <w:sz w:val="24"/>
                <w:szCs w:val="24"/>
              </w:rPr>
            </w:pPr>
            <w:r w:rsidRPr="00826D93">
              <w:rPr>
                <w:rFonts w:ascii="Arial" w:hAnsi="Arial" w:cs="Arial"/>
                <w:b/>
                <w:sz w:val="24"/>
                <w:szCs w:val="24"/>
              </w:rPr>
              <w:t>Report to:</w:t>
            </w:r>
          </w:p>
        </w:tc>
        <w:tc>
          <w:tcPr>
            <w:tcW w:w="6969" w:type="dxa"/>
          </w:tcPr>
          <w:p w:rsidRPr="00103AFD" w:rsidR="00C843AA" w:rsidP="0075550A" w:rsidRDefault="001C5E68" w14:paraId="6E5EF45F" w14:textId="77777777">
            <w:pPr>
              <w:pStyle w:val="NoSpacing"/>
              <w:tabs>
                <w:tab w:val="left" w:pos="567"/>
              </w:tabs>
              <w:ind w:right="-54"/>
              <w:outlineLvl w:val="0"/>
              <w:rPr>
                <w:rFonts w:ascii="Arial" w:hAnsi="Arial" w:cs="Arial"/>
                <w:bCs/>
                <w:sz w:val="24"/>
                <w:szCs w:val="24"/>
              </w:rPr>
            </w:pPr>
            <w:r w:rsidRPr="00103AFD">
              <w:rPr>
                <w:rFonts w:ascii="Arial" w:hAnsi="Arial" w:cs="Arial"/>
                <w:bCs/>
                <w:sz w:val="24"/>
                <w:szCs w:val="24"/>
              </w:rPr>
              <w:t>Audit and Scrutiny Panel</w:t>
            </w:r>
          </w:p>
        </w:tc>
      </w:tr>
      <w:tr w:rsidRPr="004D3483" w:rsidR="00C843AA" w:rsidTr="0075550A" w14:paraId="0889A179" w14:textId="77777777">
        <w:trPr>
          <w:trHeight w:val="271"/>
        </w:trPr>
        <w:tc>
          <w:tcPr>
            <w:tcW w:w="2672" w:type="dxa"/>
          </w:tcPr>
          <w:p w:rsidRPr="00826D93" w:rsidR="00C843AA" w:rsidP="0075550A" w:rsidRDefault="00C843AA" w14:paraId="4DAC5DF8" w14:textId="77777777">
            <w:pPr>
              <w:pStyle w:val="NoSpacing"/>
              <w:tabs>
                <w:tab w:val="left" w:pos="567"/>
              </w:tabs>
              <w:ind w:right="-54"/>
              <w:rPr>
                <w:rFonts w:ascii="Arial" w:hAnsi="Arial" w:cs="Arial"/>
                <w:b/>
                <w:sz w:val="24"/>
                <w:szCs w:val="24"/>
              </w:rPr>
            </w:pPr>
            <w:r w:rsidRPr="00826D93">
              <w:rPr>
                <w:rFonts w:ascii="Arial" w:hAnsi="Arial" w:cs="Arial"/>
                <w:b/>
                <w:sz w:val="24"/>
                <w:szCs w:val="24"/>
              </w:rPr>
              <w:t>Date of Meeting:</w:t>
            </w:r>
          </w:p>
        </w:tc>
        <w:tc>
          <w:tcPr>
            <w:tcW w:w="6969" w:type="dxa"/>
          </w:tcPr>
          <w:p w:rsidRPr="00103AFD" w:rsidR="00C843AA" w:rsidP="00CA0438" w:rsidRDefault="00CA0438" w14:paraId="689DCB35" w14:textId="7ACB3456">
            <w:pPr>
              <w:pStyle w:val="NoSpacing"/>
              <w:tabs>
                <w:tab w:val="left" w:pos="567"/>
              </w:tabs>
              <w:ind w:right="-54"/>
              <w:jc w:val="both"/>
              <w:rPr>
                <w:rFonts w:ascii="Arial" w:hAnsi="Arial" w:cs="Arial"/>
                <w:bCs/>
                <w:sz w:val="24"/>
                <w:szCs w:val="24"/>
              </w:rPr>
            </w:pPr>
            <w:r w:rsidRPr="00103AFD">
              <w:rPr>
                <w:rFonts w:ascii="Arial" w:hAnsi="Arial" w:cs="Arial"/>
                <w:bCs/>
                <w:sz w:val="24"/>
                <w:szCs w:val="24"/>
              </w:rPr>
              <w:t xml:space="preserve">28 July </w:t>
            </w:r>
            <w:r w:rsidRPr="00103AFD" w:rsidR="00964F39">
              <w:rPr>
                <w:rFonts w:ascii="Arial" w:hAnsi="Arial" w:cs="Arial"/>
                <w:bCs/>
                <w:sz w:val="24"/>
                <w:szCs w:val="24"/>
              </w:rPr>
              <w:t>2022</w:t>
            </w:r>
          </w:p>
        </w:tc>
      </w:tr>
      <w:tr w:rsidRPr="004D3483" w:rsidR="00C843AA" w:rsidTr="0075550A" w14:paraId="6B896D54" w14:textId="77777777">
        <w:trPr>
          <w:trHeight w:val="271"/>
        </w:trPr>
        <w:tc>
          <w:tcPr>
            <w:tcW w:w="2672" w:type="dxa"/>
          </w:tcPr>
          <w:p w:rsidRPr="00826D93" w:rsidR="00C843AA" w:rsidP="0075550A" w:rsidRDefault="00C843AA" w14:paraId="2304640B" w14:textId="77777777">
            <w:pPr>
              <w:pStyle w:val="NoSpacing"/>
              <w:tabs>
                <w:tab w:val="left" w:pos="567"/>
              </w:tabs>
              <w:ind w:right="-54"/>
              <w:jc w:val="both"/>
              <w:rPr>
                <w:rFonts w:ascii="Arial" w:hAnsi="Arial" w:cs="Arial"/>
                <w:b/>
                <w:sz w:val="24"/>
                <w:szCs w:val="24"/>
              </w:rPr>
            </w:pPr>
            <w:r>
              <w:rPr>
                <w:rFonts w:ascii="Arial" w:hAnsi="Arial" w:cs="Arial"/>
                <w:b/>
                <w:sz w:val="24"/>
                <w:szCs w:val="24"/>
              </w:rPr>
              <w:t>Report of:</w:t>
            </w:r>
          </w:p>
        </w:tc>
        <w:tc>
          <w:tcPr>
            <w:tcW w:w="6969" w:type="dxa"/>
          </w:tcPr>
          <w:p w:rsidRPr="00103AFD" w:rsidR="00C843AA" w:rsidP="0075550A" w:rsidRDefault="00DB4B0E" w14:paraId="7A7EBF9A" w14:textId="77777777">
            <w:pPr>
              <w:pStyle w:val="NoSpacing"/>
              <w:tabs>
                <w:tab w:val="left" w:pos="567"/>
                <w:tab w:val="left" w:pos="2700"/>
              </w:tabs>
              <w:ind w:right="-54"/>
              <w:jc w:val="both"/>
              <w:rPr>
                <w:rFonts w:ascii="Arial" w:hAnsi="Arial" w:cs="Arial"/>
                <w:bCs/>
                <w:sz w:val="24"/>
                <w:szCs w:val="24"/>
              </w:rPr>
            </w:pPr>
            <w:r w:rsidRPr="00103AFD">
              <w:rPr>
                <w:rFonts w:ascii="Arial" w:hAnsi="Arial" w:cs="Arial"/>
                <w:bCs/>
                <w:sz w:val="24"/>
                <w:szCs w:val="24"/>
              </w:rPr>
              <w:t>Deputy Chief Constable</w:t>
            </w:r>
          </w:p>
        </w:tc>
      </w:tr>
      <w:tr w:rsidRPr="004D3483" w:rsidR="00C843AA" w:rsidTr="0075550A" w14:paraId="213A14A7" w14:textId="77777777">
        <w:trPr>
          <w:trHeight w:val="271"/>
        </w:trPr>
        <w:tc>
          <w:tcPr>
            <w:tcW w:w="2672" w:type="dxa"/>
          </w:tcPr>
          <w:p w:rsidRPr="00826D93" w:rsidR="00C843AA" w:rsidP="0075550A" w:rsidRDefault="00C843AA" w14:paraId="12342F6C" w14:textId="77777777">
            <w:pPr>
              <w:pStyle w:val="NoSpacing"/>
              <w:tabs>
                <w:tab w:val="left" w:pos="567"/>
              </w:tabs>
              <w:ind w:right="-54"/>
              <w:jc w:val="both"/>
              <w:rPr>
                <w:rFonts w:ascii="Arial" w:hAnsi="Arial" w:cs="Arial"/>
                <w:b/>
                <w:sz w:val="24"/>
                <w:szCs w:val="24"/>
              </w:rPr>
            </w:pPr>
            <w:r w:rsidRPr="00826D93">
              <w:rPr>
                <w:rFonts w:ascii="Arial" w:hAnsi="Arial" w:cs="Arial"/>
                <w:b/>
                <w:sz w:val="24"/>
                <w:szCs w:val="24"/>
              </w:rPr>
              <w:t>Report Author:</w:t>
            </w:r>
          </w:p>
        </w:tc>
        <w:tc>
          <w:tcPr>
            <w:tcW w:w="6969" w:type="dxa"/>
          </w:tcPr>
          <w:p w:rsidRPr="00103AFD" w:rsidR="00C843AA" w:rsidP="0075550A" w:rsidRDefault="00CA0438" w14:paraId="770BF81B" w14:textId="4D41B077">
            <w:pPr>
              <w:pStyle w:val="NoSpacing"/>
              <w:tabs>
                <w:tab w:val="left" w:pos="567"/>
              </w:tabs>
              <w:ind w:right="-54"/>
              <w:jc w:val="both"/>
              <w:rPr>
                <w:rFonts w:ascii="Arial" w:hAnsi="Arial" w:cs="Arial"/>
                <w:bCs/>
                <w:sz w:val="24"/>
                <w:szCs w:val="24"/>
              </w:rPr>
            </w:pPr>
            <w:r w:rsidRPr="00103AFD">
              <w:rPr>
                <w:rFonts w:ascii="Arial" w:hAnsi="Arial" w:cs="Arial"/>
                <w:bCs/>
                <w:sz w:val="24"/>
                <w:szCs w:val="24"/>
              </w:rPr>
              <w:t>N Kamionko</w:t>
            </w:r>
            <w:r w:rsidRPr="00103AFD" w:rsidR="00263F51">
              <w:rPr>
                <w:rFonts w:ascii="Arial" w:hAnsi="Arial" w:cs="Arial"/>
                <w:bCs/>
                <w:sz w:val="24"/>
                <w:szCs w:val="24"/>
              </w:rPr>
              <w:t xml:space="preserve"> – Information Management Lead</w:t>
            </w:r>
          </w:p>
        </w:tc>
      </w:tr>
      <w:tr w:rsidRPr="004D3483" w:rsidR="00C843AA" w:rsidTr="0075550A" w14:paraId="735BE1DF" w14:textId="77777777">
        <w:trPr>
          <w:trHeight w:val="271"/>
        </w:trPr>
        <w:tc>
          <w:tcPr>
            <w:tcW w:w="2672" w:type="dxa"/>
          </w:tcPr>
          <w:p w:rsidRPr="00826D93" w:rsidR="00C843AA" w:rsidP="0075550A" w:rsidRDefault="00C843AA" w14:paraId="4C37136C" w14:textId="77777777">
            <w:pPr>
              <w:pStyle w:val="NoSpacing"/>
              <w:tabs>
                <w:tab w:val="left" w:pos="567"/>
              </w:tabs>
              <w:ind w:right="-54"/>
              <w:jc w:val="both"/>
              <w:rPr>
                <w:rFonts w:ascii="Arial" w:hAnsi="Arial" w:cs="Arial"/>
                <w:b/>
                <w:sz w:val="24"/>
                <w:szCs w:val="24"/>
              </w:rPr>
            </w:pPr>
            <w:r w:rsidRPr="00826D93">
              <w:rPr>
                <w:rFonts w:ascii="Arial" w:hAnsi="Arial" w:cs="Arial"/>
                <w:b/>
                <w:sz w:val="24"/>
                <w:szCs w:val="24"/>
              </w:rPr>
              <w:t>E-mail:</w:t>
            </w:r>
          </w:p>
        </w:tc>
        <w:tc>
          <w:tcPr>
            <w:tcW w:w="6969" w:type="dxa"/>
          </w:tcPr>
          <w:p w:rsidRPr="00103AFD" w:rsidR="00C843AA" w:rsidP="0075550A" w:rsidRDefault="0075550A" w14:paraId="77F0FE62" w14:textId="219B575E">
            <w:pPr>
              <w:pStyle w:val="NoSpacing"/>
              <w:tabs>
                <w:tab w:val="left" w:pos="567"/>
              </w:tabs>
              <w:ind w:right="-54"/>
              <w:jc w:val="both"/>
              <w:rPr>
                <w:rFonts w:ascii="Arial" w:hAnsi="Arial" w:cs="Arial"/>
                <w:bCs/>
                <w:sz w:val="24"/>
                <w:szCs w:val="24"/>
              </w:rPr>
            </w:pPr>
            <w:hyperlink w:history="1" r:id="rId8">
              <w:r w:rsidRPr="00662BDB">
                <w:rPr>
                  <w:rStyle w:val="Hyperlink"/>
                  <w:rFonts w:ascii="Arial" w:hAnsi="Arial" w:cs="Arial"/>
                  <w:bCs/>
                  <w:sz w:val="24"/>
                  <w:szCs w:val="24"/>
                </w:rPr>
                <w:t>Nicky.kamionko@notts.police.uk</w:t>
              </w:r>
            </w:hyperlink>
          </w:p>
        </w:tc>
      </w:tr>
      <w:tr w:rsidRPr="004D3483" w:rsidR="00C843AA" w:rsidTr="0075550A" w14:paraId="30C9EC73" w14:textId="77777777">
        <w:trPr>
          <w:trHeight w:val="286"/>
        </w:trPr>
        <w:tc>
          <w:tcPr>
            <w:tcW w:w="2672" w:type="dxa"/>
          </w:tcPr>
          <w:p w:rsidRPr="00826D93" w:rsidR="00C843AA" w:rsidP="0075550A" w:rsidRDefault="00C843AA" w14:paraId="26F513FC" w14:textId="77777777">
            <w:pPr>
              <w:pStyle w:val="NoSpacing"/>
              <w:tabs>
                <w:tab w:val="left" w:pos="567"/>
              </w:tabs>
              <w:ind w:right="-54"/>
              <w:jc w:val="both"/>
              <w:rPr>
                <w:rFonts w:ascii="Arial" w:hAnsi="Arial" w:cs="Arial"/>
                <w:b/>
                <w:sz w:val="24"/>
                <w:szCs w:val="24"/>
              </w:rPr>
            </w:pPr>
            <w:r w:rsidRPr="00826D93">
              <w:rPr>
                <w:rFonts w:ascii="Arial" w:hAnsi="Arial" w:cs="Arial"/>
                <w:b/>
                <w:sz w:val="24"/>
                <w:szCs w:val="24"/>
              </w:rPr>
              <w:t>Other Contacts:</w:t>
            </w:r>
          </w:p>
        </w:tc>
        <w:tc>
          <w:tcPr>
            <w:tcW w:w="6969" w:type="dxa"/>
          </w:tcPr>
          <w:p w:rsidRPr="00103AFD" w:rsidR="001C5E68" w:rsidP="0075550A" w:rsidRDefault="0075550A" w14:paraId="230C7AA6" w14:textId="208B326A">
            <w:pPr>
              <w:pStyle w:val="NoSpacing"/>
              <w:tabs>
                <w:tab w:val="left" w:pos="567"/>
              </w:tabs>
              <w:ind w:right="-54"/>
              <w:jc w:val="both"/>
              <w:rPr>
                <w:rFonts w:ascii="Arial" w:hAnsi="Arial" w:cs="Arial"/>
                <w:bCs/>
                <w:sz w:val="24"/>
                <w:szCs w:val="24"/>
              </w:rPr>
            </w:pPr>
            <w:hyperlink w:history="1" r:id="rId9">
              <w:r w:rsidRPr="00662BDB">
                <w:rPr>
                  <w:rStyle w:val="Hyperlink"/>
                  <w:rFonts w:ascii="Arial" w:hAnsi="Arial" w:cs="Arial"/>
                  <w:bCs/>
                  <w:sz w:val="24"/>
                  <w:szCs w:val="24"/>
                </w:rPr>
                <w:t>Lucy.greaves@notts.police.uk</w:t>
              </w:r>
            </w:hyperlink>
          </w:p>
        </w:tc>
      </w:tr>
      <w:tr w:rsidRPr="004D3483" w:rsidR="00C843AA" w:rsidTr="0075550A" w14:paraId="6F02DA8D" w14:textId="77777777">
        <w:trPr>
          <w:trHeight w:val="286"/>
        </w:trPr>
        <w:tc>
          <w:tcPr>
            <w:tcW w:w="2672" w:type="dxa"/>
          </w:tcPr>
          <w:p w:rsidRPr="00826D93" w:rsidR="00C843AA" w:rsidP="0075550A" w:rsidRDefault="00C843AA" w14:paraId="4D80CFD1" w14:textId="77777777">
            <w:pPr>
              <w:pStyle w:val="NoSpacing"/>
              <w:tabs>
                <w:tab w:val="left" w:pos="567"/>
              </w:tabs>
              <w:ind w:right="-54"/>
              <w:jc w:val="both"/>
              <w:rPr>
                <w:rFonts w:ascii="Arial" w:hAnsi="Arial" w:cs="Arial"/>
                <w:b/>
                <w:sz w:val="24"/>
                <w:szCs w:val="24"/>
              </w:rPr>
            </w:pPr>
            <w:r w:rsidRPr="00826D93">
              <w:rPr>
                <w:rFonts w:ascii="Arial" w:hAnsi="Arial" w:cs="Arial"/>
                <w:b/>
                <w:sz w:val="24"/>
                <w:szCs w:val="24"/>
              </w:rPr>
              <w:t>Agenda Item:</w:t>
            </w:r>
          </w:p>
        </w:tc>
        <w:tc>
          <w:tcPr>
            <w:tcW w:w="6969" w:type="dxa"/>
          </w:tcPr>
          <w:p w:rsidRPr="00103AFD" w:rsidR="00C843AA" w:rsidP="0075550A" w:rsidRDefault="00103AFD" w14:paraId="61B16F2C" w14:textId="779EF73B">
            <w:pPr>
              <w:pStyle w:val="NoSpacing"/>
              <w:tabs>
                <w:tab w:val="left" w:pos="567"/>
              </w:tabs>
              <w:ind w:right="-54"/>
              <w:jc w:val="both"/>
              <w:rPr>
                <w:rFonts w:ascii="Arial" w:hAnsi="Arial" w:cs="Arial"/>
                <w:bCs/>
                <w:sz w:val="24"/>
                <w:szCs w:val="24"/>
              </w:rPr>
            </w:pPr>
            <w:r w:rsidRPr="00103AFD">
              <w:rPr>
                <w:rFonts w:ascii="Arial" w:hAnsi="Arial" w:cs="Arial"/>
                <w:bCs/>
                <w:sz w:val="24"/>
                <w:szCs w:val="24"/>
              </w:rPr>
              <w:t>10</w:t>
            </w:r>
          </w:p>
        </w:tc>
      </w:tr>
    </w:tbl>
    <w:p w:rsidRPr="004D3483" w:rsidR="00C843AA" w:rsidP="00964F39" w:rsidRDefault="00C843AA" w14:paraId="5B873ED1" w14:textId="77777777">
      <w:pPr>
        <w:pStyle w:val="NoSpacing"/>
        <w:tabs>
          <w:tab w:val="left" w:pos="567"/>
        </w:tabs>
        <w:ind w:right="-54"/>
        <w:jc w:val="both"/>
        <w:rPr>
          <w:rFonts w:ascii="Arial" w:hAnsi="Arial" w:cs="Arial"/>
          <w:b/>
          <w:sz w:val="24"/>
          <w:szCs w:val="24"/>
        </w:rPr>
      </w:pPr>
    </w:p>
    <w:p w:rsidR="00C843AA" w:rsidP="00964F39" w:rsidRDefault="00771F0F" w14:paraId="055BC687" w14:textId="200D3468">
      <w:pPr>
        <w:pStyle w:val="NoSpacing"/>
        <w:tabs>
          <w:tab w:val="left" w:pos="567"/>
        </w:tabs>
        <w:ind w:right="-54"/>
        <w:jc w:val="both"/>
        <w:rPr>
          <w:rFonts w:ascii="Arial" w:hAnsi="Arial" w:cs="Arial"/>
          <w:b/>
          <w:sz w:val="28"/>
          <w:szCs w:val="28"/>
        </w:rPr>
      </w:pPr>
      <w:r>
        <w:rPr>
          <w:rFonts w:ascii="Arial" w:hAnsi="Arial" w:cs="Arial"/>
          <w:b/>
          <w:sz w:val="28"/>
          <w:szCs w:val="28"/>
        </w:rPr>
        <w:t xml:space="preserve">Nottinghamshire Police Information Management - </w:t>
      </w:r>
      <w:bookmarkStart w:name="_Hlk75530398" w:id="0"/>
      <w:r>
        <w:rPr>
          <w:rFonts w:ascii="Arial" w:hAnsi="Arial" w:cs="Arial"/>
          <w:b/>
          <w:sz w:val="28"/>
          <w:szCs w:val="28"/>
        </w:rPr>
        <w:t>Freedom of Information and Data Protection Information Requests</w:t>
      </w:r>
      <w:bookmarkEnd w:id="0"/>
      <w:r>
        <w:rPr>
          <w:rFonts w:ascii="Arial" w:hAnsi="Arial" w:cs="Arial"/>
          <w:b/>
          <w:sz w:val="28"/>
          <w:szCs w:val="28"/>
        </w:rPr>
        <w:t xml:space="preserve"> update for </w:t>
      </w:r>
      <w:r w:rsidR="00CA0438">
        <w:rPr>
          <w:rFonts w:ascii="Arial" w:hAnsi="Arial" w:cs="Arial"/>
          <w:b/>
          <w:sz w:val="28"/>
          <w:szCs w:val="28"/>
        </w:rPr>
        <w:t>May 2021 to May 2022.</w:t>
      </w:r>
    </w:p>
    <w:p w:rsidRPr="0069013F" w:rsidR="00CA0438" w:rsidP="00964F39" w:rsidRDefault="00CA0438" w14:paraId="35A042B0" w14:textId="77777777">
      <w:pPr>
        <w:pStyle w:val="NoSpacing"/>
        <w:tabs>
          <w:tab w:val="left" w:pos="567"/>
        </w:tabs>
        <w:ind w:right="-54"/>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6D93" w14:paraId="09BEAAF5" w14:textId="77777777">
        <w:tc>
          <w:tcPr>
            <w:tcW w:w="9242" w:type="dxa"/>
          </w:tcPr>
          <w:p w:rsidRPr="00826D93" w:rsidR="00C843AA" w:rsidP="00964F39" w:rsidRDefault="00C843AA" w14:paraId="2CDBDD1F" w14:textId="77777777">
            <w:pPr>
              <w:pStyle w:val="NoSpacing"/>
              <w:numPr>
                <w:ilvl w:val="0"/>
                <w:numId w:val="7"/>
              </w:numPr>
              <w:tabs>
                <w:tab w:val="left" w:pos="567"/>
              </w:tabs>
              <w:ind w:left="426" w:right="-54" w:hanging="426"/>
              <w:jc w:val="both"/>
              <w:rPr>
                <w:rFonts w:ascii="Arial" w:hAnsi="Arial" w:cs="Arial"/>
                <w:b/>
                <w:sz w:val="24"/>
                <w:szCs w:val="24"/>
              </w:rPr>
            </w:pPr>
            <w:r w:rsidRPr="00826D93">
              <w:rPr>
                <w:rFonts w:ascii="Arial" w:hAnsi="Arial" w:cs="Arial"/>
                <w:b/>
                <w:sz w:val="24"/>
                <w:szCs w:val="24"/>
              </w:rPr>
              <w:t>Purpose of the Report</w:t>
            </w:r>
          </w:p>
        </w:tc>
      </w:tr>
    </w:tbl>
    <w:p w:rsidRPr="0069013F" w:rsidR="00C843AA" w:rsidP="00964F39" w:rsidRDefault="00C843AA" w14:paraId="72B1316C" w14:textId="77777777">
      <w:pPr>
        <w:pStyle w:val="NoSpacing"/>
        <w:tabs>
          <w:tab w:val="left" w:pos="567"/>
        </w:tabs>
        <w:ind w:right="-54"/>
        <w:jc w:val="both"/>
        <w:rPr>
          <w:rFonts w:ascii="Arial" w:hAnsi="Arial" w:cs="Arial"/>
          <w:sz w:val="24"/>
          <w:szCs w:val="24"/>
        </w:rPr>
      </w:pPr>
    </w:p>
    <w:p w:rsidRPr="00882B41" w:rsidR="00C843AA" w:rsidP="00800C17" w:rsidRDefault="00771F0F" w14:paraId="35B3953C" w14:textId="3C960C2F">
      <w:pPr>
        <w:pStyle w:val="NoSpacing"/>
        <w:numPr>
          <w:ilvl w:val="1"/>
          <w:numId w:val="7"/>
        </w:numPr>
        <w:tabs>
          <w:tab w:val="left" w:pos="567"/>
        </w:tabs>
        <w:ind w:left="709" w:right="-54" w:hanging="709"/>
        <w:jc w:val="both"/>
        <w:rPr>
          <w:rFonts w:ascii="Arial" w:hAnsi="Arial" w:cs="Arial"/>
          <w:sz w:val="24"/>
          <w:szCs w:val="24"/>
        </w:rPr>
      </w:pPr>
      <w:r w:rsidRPr="00882B41">
        <w:rPr>
          <w:rFonts w:ascii="Arial" w:hAnsi="Arial" w:cs="Arial"/>
          <w:sz w:val="24"/>
          <w:szCs w:val="24"/>
        </w:rPr>
        <w:t xml:space="preserve">To provide the Audit and Scrutiny Panel with data on the legislative compliance for Information Requests under the Freedom of Information Act and Data Protection Act legislation for </w:t>
      </w:r>
      <w:r w:rsidR="00CA0438">
        <w:rPr>
          <w:rFonts w:ascii="Arial" w:hAnsi="Arial" w:cs="Arial"/>
          <w:sz w:val="24"/>
          <w:szCs w:val="24"/>
        </w:rPr>
        <w:t>May 2021 to May 2022.</w:t>
      </w:r>
    </w:p>
    <w:p w:rsidRPr="007A4B31" w:rsidR="007A4B31" w:rsidP="00800C17" w:rsidRDefault="007A4B31" w14:paraId="4570DF63" w14:textId="77777777">
      <w:pPr>
        <w:pStyle w:val="NoSpacing"/>
        <w:tabs>
          <w:tab w:val="left" w:pos="567"/>
        </w:tabs>
        <w:ind w:left="709" w:right="-54"/>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4903B6B3" w14:textId="77777777">
        <w:tc>
          <w:tcPr>
            <w:tcW w:w="9242" w:type="dxa"/>
          </w:tcPr>
          <w:p w:rsidRPr="00826D93" w:rsidR="00C843AA" w:rsidP="00800C17" w:rsidRDefault="00C843AA" w14:paraId="1636A279" w14:textId="77777777">
            <w:pPr>
              <w:pStyle w:val="NoSpacing"/>
              <w:numPr>
                <w:ilvl w:val="0"/>
                <w:numId w:val="7"/>
              </w:numPr>
              <w:tabs>
                <w:tab w:val="left" w:pos="567"/>
              </w:tabs>
              <w:ind w:left="426" w:right="-54" w:hanging="426"/>
              <w:jc w:val="both"/>
              <w:rPr>
                <w:rFonts w:ascii="Arial" w:hAnsi="Arial" w:cs="Arial"/>
                <w:b/>
                <w:sz w:val="24"/>
                <w:szCs w:val="24"/>
              </w:rPr>
            </w:pPr>
            <w:r w:rsidRPr="00826D93">
              <w:rPr>
                <w:rFonts w:ascii="Arial" w:hAnsi="Arial" w:cs="Arial"/>
                <w:b/>
                <w:sz w:val="24"/>
                <w:szCs w:val="24"/>
              </w:rPr>
              <w:t>Recommendations</w:t>
            </w:r>
          </w:p>
        </w:tc>
      </w:tr>
    </w:tbl>
    <w:p w:rsidRPr="0069013F" w:rsidR="00C843AA" w:rsidP="00800C17" w:rsidRDefault="00C843AA" w14:paraId="2E84DA74" w14:textId="77777777">
      <w:pPr>
        <w:pStyle w:val="NoSpacing"/>
        <w:tabs>
          <w:tab w:val="left" w:pos="567"/>
        </w:tabs>
        <w:ind w:right="-54"/>
        <w:jc w:val="both"/>
        <w:rPr>
          <w:rFonts w:ascii="Arial" w:hAnsi="Arial" w:cs="Arial"/>
          <w:sz w:val="24"/>
          <w:szCs w:val="24"/>
        </w:rPr>
      </w:pPr>
    </w:p>
    <w:p w:rsidR="00C843AA" w:rsidP="00800C17" w:rsidRDefault="00B17E5B" w14:paraId="39BD5D6C" w14:textId="5E194BD1">
      <w:pPr>
        <w:pStyle w:val="NoSpacing"/>
        <w:numPr>
          <w:ilvl w:val="1"/>
          <w:numId w:val="7"/>
        </w:numPr>
        <w:tabs>
          <w:tab w:val="left" w:pos="567"/>
        </w:tabs>
        <w:ind w:left="709" w:right="-54" w:hanging="709"/>
        <w:jc w:val="both"/>
        <w:rPr>
          <w:rFonts w:ascii="Arial" w:hAnsi="Arial" w:cs="Arial"/>
          <w:sz w:val="24"/>
          <w:szCs w:val="24"/>
        </w:rPr>
      </w:pPr>
      <w:r w:rsidRPr="00B17E5B">
        <w:rPr>
          <w:rFonts w:ascii="Arial" w:hAnsi="Arial" w:cs="Arial"/>
          <w:sz w:val="24"/>
          <w:szCs w:val="24"/>
        </w:rPr>
        <w:t xml:space="preserve">For Members to note the monitoring statistics for </w:t>
      </w:r>
      <w:r w:rsidR="00CA0438">
        <w:rPr>
          <w:rFonts w:ascii="Arial" w:hAnsi="Arial" w:cs="Arial"/>
          <w:sz w:val="24"/>
          <w:szCs w:val="24"/>
        </w:rPr>
        <w:t>this period</w:t>
      </w:r>
      <w:r w:rsidR="00C35AC7">
        <w:rPr>
          <w:rFonts w:ascii="Arial" w:hAnsi="Arial" w:cs="Arial"/>
          <w:sz w:val="24"/>
          <w:szCs w:val="24"/>
        </w:rPr>
        <w:t xml:space="preserve"> </w:t>
      </w:r>
      <w:r w:rsidRPr="00B17E5B">
        <w:rPr>
          <w:rFonts w:ascii="Arial" w:hAnsi="Arial" w:cs="Arial"/>
          <w:sz w:val="24"/>
          <w:szCs w:val="24"/>
        </w:rPr>
        <w:t>in relation to information requests processed by Nottinghamshire Police in line with Freedom of Information and Data Protection legislation.</w:t>
      </w:r>
    </w:p>
    <w:p w:rsidR="004F682C" w:rsidP="00800C17" w:rsidRDefault="004F682C" w14:paraId="3EE32395" w14:textId="77777777">
      <w:pPr>
        <w:pStyle w:val="NoSpacing"/>
        <w:tabs>
          <w:tab w:val="left" w:pos="567"/>
        </w:tabs>
        <w:ind w:left="1080" w:right="-54"/>
        <w:jc w:val="both"/>
        <w:rPr>
          <w:rFonts w:ascii="Arial" w:hAnsi="Arial" w:cs="Arial"/>
          <w:sz w:val="24"/>
          <w:szCs w:val="24"/>
        </w:rPr>
      </w:pPr>
    </w:p>
    <w:p w:rsidRPr="0069013F" w:rsidR="00C843AA" w:rsidP="00800C17" w:rsidRDefault="00C843AA" w14:paraId="30B5C470" w14:textId="77777777">
      <w:pPr>
        <w:pStyle w:val="NoSpacing"/>
        <w:tabs>
          <w:tab w:val="left" w:pos="567"/>
        </w:tabs>
        <w:ind w:right="-54"/>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05CC3CB2" w14:textId="77777777">
        <w:tc>
          <w:tcPr>
            <w:tcW w:w="9242" w:type="dxa"/>
          </w:tcPr>
          <w:p w:rsidRPr="00826D93" w:rsidR="00C843AA" w:rsidP="00800C17" w:rsidRDefault="00C843AA" w14:paraId="483DCC1C" w14:textId="77777777">
            <w:pPr>
              <w:pStyle w:val="NoSpacing"/>
              <w:numPr>
                <w:ilvl w:val="0"/>
                <w:numId w:val="7"/>
              </w:numPr>
              <w:tabs>
                <w:tab w:val="left" w:pos="567"/>
              </w:tabs>
              <w:ind w:left="426" w:right="-54" w:hanging="426"/>
              <w:jc w:val="both"/>
              <w:rPr>
                <w:rFonts w:ascii="Arial" w:hAnsi="Arial" w:cs="Arial"/>
                <w:b/>
                <w:sz w:val="24"/>
                <w:szCs w:val="24"/>
              </w:rPr>
            </w:pPr>
            <w:r w:rsidRPr="00826D93">
              <w:rPr>
                <w:rFonts w:ascii="Arial" w:hAnsi="Arial" w:cs="Arial"/>
                <w:b/>
                <w:sz w:val="24"/>
                <w:szCs w:val="24"/>
              </w:rPr>
              <w:t>Reasons for Recommendations</w:t>
            </w:r>
          </w:p>
        </w:tc>
      </w:tr>
    </w:tbl>
    <w:p w:rsidRPr="0069013F" w:rsidR="00C843AA" w:rsidP="00800C17" w:rsidRDefault="00C843AA" w14:paraId="07412912" w14:textId="77777777">
      <w:pPr>
        <w:pStyle w:val="NoSpacing"/>
        <w:tabs>
          <w:tab w:val="left" w:pos="567"/>
        </w:tabs>
        <w:ind w:right="-54"/>
        <w:jc w:val="both"/>
        <w:rPr>
          <w:rFonts w:ascii="Arial" w:hAnsi="Arial" w:cs="Arial"/>
          <w:sz w:val="24"/>
          <w:szCs w:val="24"/>
        </w:rPr>
      </w:pPr>
    </w:p>
    <w:p w:rsidRPr="0069013F" w:rsidR="00C843AA" w:rsidP="00800C17" w:rsidRDefault="001C5E68" w14:paraId="69D1580D" w14:textId="77777777">
      <w:pPr>
        <w:pStyle w:val="NoSpacing"/>
        <w:tabs>
          <w:tab w:val="left" w:pos="567"/>
        </w:tabs>
        <w:ind w:left="709" w:right="-54" w:hanging="709"/>
        <w:jc w:val="both"/>
        <w:rPr>
          <w:rFonts w:ascii="Arial" w:hAnsi="Arial" w:cs="Arial"/>
          <w:sz w:val="24"/>
          <w:szCs w:val="24"/>
        </w:rPr>
      </w:pPr>
      <w:r>
        <w:rPr>
          <w:rFonts w:ascii="Arial" w:hAnsi="Arial" w:cs="Arial"/>
          <w:sz w:val="24"/>
          <w:szCs w:val="24"/>
        </w:rPr>
        <w:t>3.1</w:t>
      </w:r>
      <w:r>
        <w:rPr>
          <w:rFonts w:ascii="Arial" w:hAnsi="Arial" w:cs="Arial"/>
          <w:sz w:val="24"/>
          <w:szCs w:val="24"/>
        </w:rPr>
        <w:tab/>
        <w:t>To enable</w:t>
      </w:r>
      <w:r w:rsidR="00C843AA">
        <w:rPr>
          <w:rFonts w:ascii="Arial" w:hAnsi="Arial" w:cs="Arial"/>
          <w:sz w:val="24"/>
          <w:szCs w:val="24"/>
        </w:rPr>
        <w:t xml:space="preserve"> the </w:t>
      </w:r>
      <w:r>
        <w:rPr>
          <w:rFonts w:ascii="Arial" w:hAnsi="Arial" w:cs="Arial"/>
          <w:sz w:val="24"/>
          <w:szCs w:val="24"/>
        </w:rPr>
        <w:t xml:space="preserve">Audit and Scrutiny Panel </w:t>
      </w:r>
      <w:r w:rsidR="00C843AA">
        <w:rPr>
          <w:rFonts w:ascii="Arial" w:hAnsi="Arial" w:cs="Arial"/>
          <w:sz w:val="24"/>
          <w:szCs w:val="24"/>
        </w:rPr>
        <w:t xml:space="preserve">to fulfil its scrutiny obligations to oversee and consider Freedom of Information and Data Protection </w:t>
      </w:r>
      <w:r w:rsidR="00416A26">
        <w:rPr>
          <w:rFonts w:ascii="Arial" w:hAnsi="Arial" w:cs="Arial"/>
          <w:sz w:val="24"/>
          <w:szCs w:val="24"/>
        </w:rPr>
        <w:t>Subject Access</w:t>
      </w:r>
      <w:r w:rsidR="00B17E5B">
        <w:rPr>
          <w:rFonts w:ascii="Arial" w:hAnsi="Arial" w:cs="Arial"/>
          <w:sz w:val="24"/>
          <w:szCs w:val="24"/>
        </w:rPr>
        <w:t xml:space="preserve"> Request </w:t>
      </w:r>
      <w:r w:rsidR="00416A26">
        <w:rPr>
          <w:rFonts w:ascii="Arial" w:hAnsi="Arial" w:cs="Arial"/>
          <w:sz w:val="24"/>
          <w:szCs w:val="24"/>
        </w:rPr>
        <w:t xml:space="preserve">(SAR) </w:t>
      </w:r>
      <w:r w:rsidR="00C843AA">
        <w:rPr>
          <w:rFonts w:ascii="Arial" w:hAnsi="Arial" w:cs="Arial"/>
          <w:sz w:val="24"/>
          <w:szCs w:val="24"/>
        </w:rPr>
        <w:t>Compliance.</w:t>
      </w:r>
    </w:p>
    <w:p w:rsidRPr="0069013F" w:rsidR="00C843AA" w:rsidP="00800C17" w:rsidRDefault="00C843AA" w14:paraId="1F2BD3A0" w14:textId="77777777">
      <w:pPr>
        <w:pStyle w:val="NoSpacing"/>
        <w:tabs>
          <w:tab w:val="left" w:pos="567"/>
        </w:tabs>
        <w:ind w:right="-54"/>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2C0955F6" w14:textId="77777777">
        <w:tc>
          <w:tcPr>
            <w:tcW w:w="9242" w:type="dxa"/>
          </w:tcPr>
          <w:p w:rsidRPr="00826D93" w:rsidR="00C843AA" w:rsidP="00800C17" w:rsidRDefault="00C843AA" w14:paraId="6F625FFD" w14:textId="77777777">
            <w:pPr>
              <w:pStyle w:val="NoSpacing"/>
              <w:numPr>
                <w:ilvl w:val="0"/>
                <w:numId w:val="7"/>
              </w:numPr>
              <w:tabs>
                <w:tab w:val="left" w:pos="567"/>
              </w:tabs>
              <w:ind w:left="426" w:right="-54" w:hanging="426"/>
              <w:jc w:val="both"/>
              <w:rPr>
                <w:rFonts w:ascii="Arial" w:hAnsi="Arial" w:cs="Arial"/>
                <w:b/>
                <w:sz w:val="24"/>
                <w:szCs w:val="24"/>
              </w:rPr>
            </w:pPr>
            <w:r w:rsidRPr="00826D93">
              <w:rPr>
                <w:rFonts w:ascii="Arial" w:hAnsi="Arial" w:cs="Arial"/>
                <w:b/>
                <w:sz w:val="24"/>
                <w:szCs w:val="24"/>
              </w:rPr>
              <w:t>Summary of Key Points</w:t>
            </w:r>
          </w:p>
        </w:tc>
      </w:tr>
    </w:tbl>
    <w:p w:rsidRPr="00311CCE" w:rsidR="00F8616A" w:rsidP="00800C17" w:rsidRDefault="00F8616A" w14:paraId="7D338B51" w14:textId="77777777">
      <w:pPr>
        <w:pStyle w:val="NormalWeb"/>
        <w:tabs>
          <w:tab w:val="left" w:pos="567"/>
        </w:tabs>
        <w:ind w:right="-54"/>
        <w:jc w:val="both"/>
        <w:rPr>
          <w:rFonts w:ascii="Arial" w:hAnsi="Arial" w:cs="Arial"/>
          <w:color w:val="000000"/>
          <w:lang w:val="en"/>
        </w:rPr>
      </w:pPr>
    </w:p>
    <w:p w:rsidRPr="00DB4B0E" w:rsidR="00F8616A" w:rsidP="00800C17" w:rsidRDefault="00A0598E" w14:paraId="3D74912C" w14:textId="3C5C3547">
      <w:pPr>
        <w:tabs>
          <w:tab w:val="left" w:pos="567"/>
        </w:tabs>
        <w:ind w:left="720" w:right="-54" w:hanging="720"/>
        <w:jc w:val="both"/>
        <w:rPr>
          <w:rFonts w:cs="Arial"/>
          <w:szCs w:val="24"/>
        </w:rPr>
      </w:pPr>
      <w:r>
        <w:rPr>
          <w:rFonts w:cs="Arial"/>
        </w:rPr>
        <w:t>4.1</w:t>
      </w:r>
      <w:r w:rsidR="001C5E68">
        <w:rPr>
          <w:rFonts w:cs="Arial"/>
        </w:rPr>
        <w:t xml:space="preserve"> </w:t>
      </w:r>
      <w:r w:rsidR="001C5E68">
        <w:rPr>
          <w:rFonts w:cs="Arial"/>
        </w:rPr>
        <w:tab/>
      </w:r>
      <w:r w:rsidRPr="00DB4B0E" w:rsidR="00F8616A">
        <w:rPr>
          <w:rFonts w:cs="Arial"/>
          <w:szCs w:val="24"/>
        </w:rPr>
        <w:t xml:space="preserve">Nottinghamshire Police as a public authority </w:t>
      </w:r>
      <w:r w:rsidRPr="00DB4B0E" w:rsidR="00DB4B0E">
        <w:rPr>
          <w:rFonts w:cs="Arial"/>
          <w:szCs w:val="24"/>
        </w:rPr>
        <w:t>has</w:t>
      </w:r>
      <w:r w:rsidRPr="00DB4B0E" w:rsidR="00F8616A">
        <w:rPr>
          <w:rFonts w:cs="Arial"/>
          <w:szCs w:val="24"/>
        </w:rPr>
        <w:t xml:space="preserve"> a legal responsibility to respond to information requests received and processed in line with Freedom of Information Act (FOIA) and Data Protection legislation. These requests are processed and completed by </w:t>
      </w:r>
      <w:r w:rsidRPr="00DB4B0E" w:rsidR="005B5FD8">
        <w:rPr>
          <w:rFonts w:cs="Arial"/>
          <w:szCs w:val="24"/>
        </w:rPr>
        <w:t xml:space="preserve">the Information </w:t>
      </w:r>
      <w:r w:rsidR="00411CCC">
        <w:rPr>
          <w:rFonts w:cs="Arial"/>
          <w:szCs w:val="24"/>
        </w:rPr>
        <w:t>R</w:t>
      </w:r>
      <w:r w:rsidR="007F72A8">
        <w:rPr>
          <w:rFonts w:cs="Arial"/>
          <w:szCs w:val="24"/>
        </w:rPr>
        <w:t xml:space="preserve">equest </w:t>
      </w:r>
      <w:r w:rsidRPr="00DB4B0E" w:rsidR="005B5FD8">
        <w:rPr>
          <w:rFonts w:cs="Arial"/>
          <w:szCs w:val="24"/>
        </w:rPr>
        <w:t>Team</w:t>
      </w:r>
      <w:r w:rsidR="00CA0438">
        <w:rPr>
          <w:rFonts w:cs="Arial"/>
          <w:szCs w:val="24"/>
        </w:rPr>
        <w:t>.</w:t>
      </w:r>
    </w:p>
    <w:p w:rsidRPr="00DB4B0E" w:rsidR="00F8616A" w:rsidP="00800C17" w:rsidRDefault="00A0598E" w14:paraId="3BF20A72" w14:textId="77777777">
      <w:pPr>
        <w:tabs>
          <w:tab w:val="left" w:pos="567"/>
        </w:tabs>
        <w:ind w:right="-54"/>
        <w:jc w:val="both"/>
        <w:rPr>
          <w:rFonts w:cs="Arial"/>
          <w:szCs w:val="24"/>
        </w:rPr>
      </w:pPr>
      <w:r>
        <w:rPr>
          <w:rFonts w:cs="Arial"/>
          <w:szCs w:val="24"/>
        </w:rPr>
        <w:t>4.2</w:t>
      </w:r>
      <w:r w:rsidRPr="00DB4B0E" w:rsidR="000C3BE9">
        <w:rPr>
          <w:rFonts w:cs="Arial"/>
          <w:szCs w:val="24"/>
        </w:rPr>
        <w:tab/>
      </w:r>
      <w:r w:rsidRPr="00DB4B0E" w:rsidR="00F8616A">
        <w:rPr>
          <w:rFonts w:cs="Arial"/>
          <w:szCs w:val="24"/>
        </w:rPr>
        <w:t xml:space="preserve">The legislative deadlines for the Acts </w:t>
      </w:r>
      <w:proofErr w:type="gramStart"/>
      <w:r w:rsidRPr="00DB4B0E" w:rsidR="00F8616A">
        <w:rPr>
          <w:rFonts w:cs="Arial"/>
          <w:szCs w:val="24"/>
        </w:rPr>
        <w:t>are:-</w:t>
      </w:r>
      <w:proofErr w:type="gramEnd"/>
    </w:p>
    <w:p w:rsidRPr="00DB4B0E" w:rsidR="00F8616A" w:rsidP="00800C17" w:rsidRDefault="00F8616A" w14:paraId="4F877980" w14:textId="77777777">
      <w:pPr>
        <w:numPr>
          <w:ilvl w:val="0"/>
          <w:numId w:val="13"/>
        </w:numPr>
        <w:tabs>
          <w:tab w:val="left" w:pos="567"/>
        </w:tabs>
        <w:spacing w:after="0" w:line="240" w:lineRule="auto"/>
        <w:ind w:right="-54"/>
        <w:jc w:val="both"/>
        <w:rPr>
          <w:rFonts w:cs="Arial"/>
          <w:szCs w:val="24"/>
        </w:rPr>
      </w:pPr>
      <w:r w:rsidRPr="00DB4B0E">
        <w:rPr>
          <w:rFonts w:cs="Arial"/>
          <w:szCs w:val="24"/>
        </w:rPr>
        <w:t>Freedom of Information 20 working days</w:t>
      </w:r>
    </w:p>
    <w:p w:rsidR="001C5E68" w:rsidP="00800C17" w:rsidRDefault="00F8616A" w14:paraId="1B4D0549" w14:textId="77777777">
      <w:pPr>
        <w:numPr>
          <w:ilvl w:val="0"/>
          <w:numId w:val="13"/>
        </w:numPr>
        <w:tabs>
          <w:tab w:val="left" w:pos="567"/>
        </w:tabs>
        <w:spacing w:after="0" w:line="240" w:lineRule="auto"/>
        <w:ind w:right="-54"/>
        <w:jc w:val="both"/>
        <w:rPr>
          <w:rFonts w:cs="Arial"/>
          <w:color w:val="000000" w:themeColor="text1"/>
          <w:szCs w:val="24"/>
        </w:rPr>
      </w:pPr>
      <w:r w:rsidRPr="006107EF">
        <w:rPr>
          <w:rFonts w:cs="Arial"/>
          <w:color w:val="000000" w:themeColor="text1"/>
          <w:szCs w:val="24"/>
        </w:rPr>
        <w:t>Data Protection</w:t>
      </w:r>
      <w:r w:rsidRPr="006107EF" w:rsidR="00311CCE">
        <w:rPr>
          <w:rFonts w:cs="Arial"/>
          <w:color w:val="000000" w:themeColor="text1"/>
          <w:szCs w:val="24"/>
        </w:rPr>
        <w:t xml:space="preserve"> Subject Access </w:t>
      </w:r>
      <w:r w:rsidRPr="006107EF" w:rsidR="00AA3719">
        <w:rPr>
          <w:rFonts w:cs="Arial"/>
          <w:color w:val="000000" w:themeColor="text1"/>
          <w:szCs w:val="24"/>
        </w:rPr>
        <w:t xml:space="preserve">1 </w:t>
      </w:r>
      <w:r w:rsidR="002C0D4C">
        <w:rPr>
          <w:rFonts w:cs="Arial"/>
          <w:color w:val="000000" w:themeColor="text1"/>
          <w:szCs w:val="24"/>
        </w:rPr>
        <w:t xml:space="preserve">calendar </w:t>
      </w:r>
      <w:r w:rsidRPr="006107EF" w:rsidR="00AA3719">
        <w:rPr>
          <w:rFonts w:cs="Arial"/>
          <w:color w:val="000000" w:themeColor="text1"/>
          <w:szCs w:val="24"/>
        </w:rPr>
        <w:t xml:space="preserve">month </w:t>
      </w:r>
      <w:r w:rsidR="002C0D4C">
        <w:rPr>
          <w:rFonts w:cs="Arial"/>
          <w:color w:val="000000" w:themeColor="text1"/>
          <w:szCs w:val="24"/>
        </w:rPr>
        <w:t>from receipt of request</w:t>
      </w:r>
    </w:p>
    <w:p w:rsidR="00866B3B" w:rsidP="00964F39" w:rsidRDefault="00866B3B" w14:paraId="5E716064" w14:textId="43A2144B">
      <w:pPr>
        <w:tabs>
          <w:tab w:val="left" w:pos="567"/>
        </w:tabs>
        <w:spacing w:after="0" w:line="240" w:lineRule="auto"/>
        <w:ind w:right="-54"/>
        <w:rPr>
          <w:rFonts w:cs="Arial"/>
          <w:color w:val="000000" w:themeColor="text1"/>
          <w:szCs w:val="24"/>
        </w:rPr>
      </w:pPr>
    </w:p>
    <w:p w:rsidR="00964F39" w:rsidRDefault="00964F39" w14:paraId="3BF16161" w14:textId="08A5CFDB">
      <w:pPr>
        <w:spacing w:after="0" w:line="240" w:lineRule="auto"/>
        <w:rPr>
          <w:rFonts w:cs="Arial"/>
          <w:color w:val="000000" w:themeColor="text1"/>
          <w:szCs w:val="24"/>
        </w:rPr>
      </w:pPr>
      <w:r>
        <w:rPr>
          <w:rFonts w:cs="Arial"/>
          <w:color w:val="000000" w:themeColor="text1"/>
          <w:szCs w:val="24"/>
        </w:rPr>
        <w:br w:type="page"/>
      </w:r>
    </w:p>
    <w:p w:rsidR="00CA28D9" w:rsidP="00964F39" w:rsidRDefault="00CA28D9" w14:paraId="5C23C5AB" w14:textId="77777777">
      <w:pPr>
        <w:tabs>
          <w:tab w:val="left" w:pos="567"/>
        </w:tabs>
        <w:spacing w:after="0" w:line="240" w:lineRule="auto"/>
        <w:ind w:right="-54"/>
        <w:rPr>
          <w:rFonts w:cs="Arial"/>
          <w:color w:val="000000" w:themeColor="text1"/>
          <w:szCs w:val="24"/>
        </w:rPr>
      </w:pPr>
    </w:p>
    <w:p w:rsidRPr="006107EF" w:rsidR="00866B3B" w:rsidP="00964F39" w:rsidRDefault="00866B3B" w14:paraId="3E8BC035" w14:textId="77777777">
      <w:pPr>
        <w:tabs>
          <w:tab w:val="left" w:pos="567"/>
        </w:tabs>
        <w:spacing w:after="0" w:line="240" w:lineRule="auto"/>
        <w:ind w:left="1080" w:right="-54"/>
        <w:rPr>
          <w:rFonts w:cs="Arial"/>
          <w:color w:val="000000" w:themeColor="text1"/>
          <w:szCs w:val="24"/>
        </w:rPr>
      </w:pPr>
    </w:p>
    <w:p w:rsidR="00741963" w:rsidP="00800C17" w:rsidRDefault="00A0598E" w14:paraId="12598FF7" w14:textId="2E365DDA">
      <w:pPr>
        <w:tabs>
          <w:tab w:val="left" w:pos="567"/>
        </w:tabs>
        <w:ind w:left="709" w:right="-54" w:hanging="709"/>
        <w:jc w:val="both"/>
        <w:rPr>
          <w:rFonts w:cs="Arial"/>
          <w:b/>
          <w:color w:val="000000" w:themeColor="text1"/>
          <w:szCs w:val="24"/>
        </w:rPr>
      </w:pPr>
      <w:r w:rsidRPr="001C72D6">
        <w:rPr>
          <w:rFonts w:cs="Arial"/>
          <w:b/>
          <w:color w:val="000000" w:themeColor="text1"/>
          <w:szCs w:val="24"/>
        </w:rPr>
        <w:t>4.3</w:t>
      </w:r>
      <w:r w:rsidR="00985EB5">
        <w:rPr>
          <w:rFonts w:cs="Arial"/>
          <w:color w:val="000000" w:themeColor="text1"/>
          <w:szCs w:val="24"/>
        </w:rPr>
        <w:t xml:space="preserve"> </w:t>
      </w:r>
      <w:r w:rsidRPr="00985EB5" w:rsidR="008C15AA">
        <w:rPr>
          <w:rFonts w:cs="Arial"/>
          <w:b/>
          <w:color w:val="000000" w:themeColor="text1"/>
          <w:szCs w:val="24"/>
        </w:rPr>
        <w:t>Table 1 – FOI Completion Figures from</w:t>
      </w:r>
      <w:r w:rsidR="00CA0438">
        <w:rPr>
          <w:rFonts w:cs="Arial"/>
          <w:b/>
          <w:color w:val="000000" w:themeColor="text1"/>
          <w:szCs w:val="24"/>
        </w:rPr>
        <w:t xml:space="preserve"> May 2021 to May 2022.</w:t>
      </w:r>
    </w:p>
    <w:p w:rsidRPr="00D96491" w:rsidR="00D96491" w:rsidP="00800C17" w:rsidRDefault="00D96491" w14:paraId="10F4C0FD" w14:textId="65DBC104">
      <w:pPr>
        <w:tabs>
          <w:tab w:val="left" w:pos="567"/>
        </w:tabs>
        <w:ind w:left="709" w:right="-54"/>
        <w:jc w:val="both"/>
        <w:rPr>
          <w:rFonts w:cs="Arial"/>
          <w:color w:val="000000" w:themeColor="text1"/>
          <w:sz w:val="20"/>
          <w:szCs w:val="20"/>
        </w:rPr>
      </w:pPr>
      <w:bookmarkStart w:name="_Hlk75449237" w:id="1"/>
      <w:r w:rsidRPr="00D96491">
        <w:rPr>
          <w:rFonts w:cs="Arial"/>
          <w:color w:val="000000" w:themeColor="text1"/>
          <w:sz w:val="20"/>
          <w:szCs w:val="20"/>
        </w:rPr>
        <w:t>The Force monitors compliance and provides quarterly statistics for Freedom of Information to the NPCC Central Referral Unit based in Hampshire.  Since September 2019 compliance figures in respect of FOI and Subject Access requests have been provided to the Information Commissioners Office for performance monitoring purposes</w:t>
      </w:r>
      <w:r w:rsidR="00306790">
        <w:rPr>
          <w:rFonts w:cs="Arial"/>
          <w:color w:val="000000" w:themeColor="text1"/>
          <w:sz w:val="20"/>
          <w:szCs w:val="20"/>
        </w:rPr>
        <w:t xml:space="preserve"> and are published on the ICO website.</w:t>
      </w:r>
    </w:p>
    <w:bookmarkEnd w:id="1"/>
    <w:p w:rsidR="004717DF" w:rsidP="00964F39" w:rsidRDefault="004717DF" w14:paraId="189C5D9D" w14:textId="6058BA5D">
      <w:pPr>
        <w:pStyle w:val="ListParagraph"/>
        <w:tabs>
          <w:tab w:val="left" w:pos="567"/>
        </w:tabs>
        <w:ind w:left="1134" w:right="-54" w:hanging="1134"/>
        <w:rPr>
          <w:rFonts w:ascii="Arial" w:hAnsi="Arial" w:cs="Arial"/>
          <w:sz w:val="24"/>
          <w:szCs w:val="24"/>
        </w:rPr>
      </w:pPr>
    </w:p>
    <w:p w:rsidRPr="00345829" w:rsidR="00345829" w:rsidP="00964F39" w:rsidRDefault="00802C43" w14:paraId="41C01040" w14:textId="17E483C2">
      <w:pPr>
        <w:pStyle w:val="ListParagraph"/>
        <w:tabs>
          <w:tab w:val="left" w:pos="567"/>
        </w:tabs>
        <w:ind w:left="1134" w:right="-54" w:hanging="850"/>
        <w:rPr>
          <w:rFonts w:ascii="Arial" w:hAnsi="Arial" w:cs="Arial"/>
          <w:sz w:val="24"/>
          <w:szCs w:val="24"/>
        </w:rPr>
      </w:pPr>
      <w:r>
        <w:rPr>
          <w:noProof/>
        </w:rPr>
        <w:drawing>
          <wp:inline distT="0" distB="0" distL="0" distR="0" wp14:anchorId="349F58FB" wp14:editId="1AB0979B">
            <wp:extent cx="6216650" cy="3549650"/>
            <wp:effectExtent l="0" t="0" r="12700" b="12700"/>
            <wp:docPr id="2" name="Chart 2">
              <a:extLst xmlns:a="http://schemas.openxmlformats.org/drawingml/2006/main">
                <a:ext uri="{FF2B5EF4-FFF2-40B4-BE49-F238E27FC236}">
                  <a16:creationId xmlns:a16="http://schemas.microsoft.com/office/drawing/2014/main" id="{0AAE7BF4-D4B8-49A3-BE12-A7BE52010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2CDE" w:rsidP="00964F39" w:rsidRDefault="005F2CDE" w14:paraId="18E2613A" w14:textId="402BFE00">
      <w:pPr>
        <w:pStyle w:val="ListParagraph"/>
        <w:tabs>
          <w:tab w:val="left" w:pos="567"/>
        </w:tabs>
        <w:ind w:left="1134" w:right="-54" w:hanging="850"/>
        <w:rPr>
          <w:rFonts w:ascii="Arial" w:hAnsi="Arial" w:cs="Arial"/>
          <w:b/>
          <w:bCs/>
          <w:sz w:val="24"/>
          <w:szCs w:val="24"/>
        </w:rPr>
      </w:pPr>
    </w:p>
    <w:p w:rsidR="000B4DDF" w:rsidP="00964F39" w:rsidRDefault="000B4DDF" w14:paraId="2BAB977E" w14:textId="77777777">
      <w:pPr>
        <w:pStyle w:val="ListParagraph"/>
        <w:tabs>
          <w:tab w:val="left" w:pos="567"/>
        </w:tabs>
        <w:ind w:left="1134" w:right="-54" w:hanging="850"/>
        <w:rPr>
          <w:rFonts w:ascii="Arial" w:hAnsi="Arial" w:cs="Arial"/>
          <w:b/>
          <w:bCs/>
          <w:sz w:val="24"/>
          <w:szCs w:val="24"/>
        </w:rPr>
      </w:pPr>
    </w:p>
    <w:p w:rsidRPr="004F682C" w:rsidR="00E77035" w:rsidP="00964F39" w:rsidRDefault="00E77035" w14:paraId="003C3448" w14:textId="3D6FDC46">
      <w:pPr>
        <w:pStyle w:val="ListParagraph"/>
        <w:tabs>
          <w:tab w:val="left" w:pos="567"/>
        </w:tabs>
        <w:ind w:left="1134" w:right="-54" w:hanging="850"/>
        <w:rPr>
          <w:rFonts w:ascii="Arial" w:hAnsi="Arial" w:cs="Arial"/>
          <w:b/>
          <w:bCs/>
          <w:sz w:val="24"/>
          <w:szCs w:val="24"/>
        </w:rPr>
      </w:pPr>
      <w:r w:rsidRPr="004F682C">
        <w:rPr>
          <w:rFonts w:ascii="Arial" w:hAnsi="Arial" w:cs="Arial"/>
          <w:b/>
          <w:bCs/>
          <w:sz w:val="24"/>
          <w:szCs w:val="24"/>
        </w:rPr>
        <w:t>Current Demand Levels: FOI</w:t>
      </w:r>
    </w:p>
    <w:p w:rsidRPr="00E77035" w:rsidR="00E77035" w:rsidP="00800C17" w:rsidRDefault="00E77035" w14:paraId="20AE5725" w14:textId="77777777">
      <w:pPr>
        <w:pStyle w:val="ListParagraph"/>
        <w:tabs>
          <w:tab w:val="left" w:pos="567"/>
        </w:tabs>
        <w:ind w:left="1134" w:right="-54" w:hanging="850"/>
        <w:jc w:val="both"/>
        <w:rPr>
          <w:rFonts w:ascii="Arial" w:hAnsi="Arial" w:cs="Arial"/>
          <w:sz w:val="24"/>
          <w:szCs w:val="24"/>
        </w:rPr>
      </w:pPr>
      <w:r w:rsidRPr="00E77035">
        <w:rPr>
          <w:rFonts w:ascii="Arial" w:hAnsi="Arial" w:cs="Arial"/>
          <w:sz w:val="24"/>
          <w:szCs w:val="24"/>
        </w:rPr>
        <w:t xml:space="preserve"> </w:t>
      </w:r>
    </w:p>
    <w:p w:rsidR="000864FB" w:rsidP="00800C17" w:rsidRDefault="001B0FA3" w14:paraId="5B51E7A1" w14:textId="1D4D18C7">
      <w:pPr>
        <w:pStyle w:val="ListParagraph"/>
        <w:numPr>
          <w:ilvl w:val="0"/>
          <w:numId w:val="33"/>
        </w:numPr>
        <w:tabs>
          <w:tab w:val="left" w:pos="567"/>
        </w:tabs>
        <w:ind w:right="-54"/>
        <w:jc w:val="both"/>
        <w:rPr>
          <w:rFonts w:ascii="Arial" w:hAnsi="Arial" w:cs="Arial"/>
          <w:sz w:val="24"/>
          <w:szCs w:val="24"/>
        </w:rPr>
      </w:pPr>
      <w:r>
        <w:rPr>
          <w:rFonts w:ascii="Arial" w:hAnsi="Arial" w:cs="Arial"/>
          <w:sz w:val="24"/>
          <w:szCs w:val="24"/>
        </w:rPr>
        <w:t xml:space="preserve">We </w:t>
      </w:r>
      <w:r w:rsidR="00CA0438">
        <w:rPr>
          <w:rFonts w:ascii="Arial" w:hAnsi="Arial" w:cs="Arial"/>
          <w:sz w:val="24"/>
          <w:szCs w:val="24"/>
        </w:rPr>
        <w:t xml:space="preserve">continue to have one dedicated Information Request Officer to manage all </w:t>
      </w:r>
      <w:r>
        <w:rPr>
          <w:rFonts w:ascii="Arial" w:hAnsi="Arial" w:cs="Arial"/>
          <w:sz w:val="24"/>
          <w:szCs w:val="24"/>
        </w:rPr>
        <w:t>FOI requests with support from the Information Request Team Leader</w:t>
      </w:r>
      <w:r w:rsidR="00CA0438">
        <w:rPr>
          <w:rFonts w:ascii="Arial" w:hAnsi="Arial" w:cs="Arial"/>
          <w:sz w:val="24"/>
          <w:szCs w:val="24"/>
        </w:rPr>
        <w:t xml:space="preserve">.  This process </w:t>
      </w:r>
      <w:r w:rsidR="00087B0E">
        <w:rPr>
          <w:rFonts w:ascii="Arial" w:hAnsi="Arial" w:cs="Arial"/>
          <w:sz w:val="24"/>
          <w:szCs w:val="24"/>
        </w:rPr>
        <w:t>remains under review</w:t>
      </w:r>
      <w:r w:rsidR="00CA0438">
        <w:rPr>
          <w:rFonts w:ascii="Arial" w:hAnsi="Arial" w:cs="Arial"/>
          <w:sz w:val="24"/>
          <w:szCs w:val="24"/>
        </w:rPr>
        <w:t>.  Compliance levels have fluctuated during this period due to single person dependency</w:t>
      </w:r>
      <w:r w:rsidR="00087B0E">
        <w:rPr>
          <w:rFonts w:ascii="Arial" w:hAnsi="Arial" w:cs="Arial"/>
          <w:sz w:val="24"/>
          <w:szCs w:val="24"/>
        </w:rPr>
        <w:t xml:space="preserve"> and</w:t>
      </w:r>
      <w:r w:rsidR="00CA0438">
        <w:rPr>
          <w:rFonts w:ascii="Arial" w:hAnsi="Arial" w:cs="Arial"/>
          <w:sz w:val="24"/>
          <w:szCs w:val="24"/>
        </w:rPr>
        <w:t xml:space="preserve"> absence relating to training and annual leave</w:t>
      </w:r>
      <w:r w:rsidR="00087B0E">
        <w:rPr>
          <w:rFonts w:ascii="Arial" w:hAnsi="Arial" w:cs="Arial"/>
          <w:sz w:val="24"/>
          <w:szCs w:val="24"/>
        </w:rPr>
        <w:t xml:space="preserve">. </w:t>
      </w:r>
    </w:p>
    <w:p w:rsidRPr="00744B01" w:rsidR="00A04D12" w:rsidP="00800C17" w:rsidRDefault="000864FB" w14:paraId="0DEAE017" w14:textId="5C12BB26">
      <w:pPr>
        <w:pStyle w:val="ListParagraph"/>
        <w:numPr>
          <w:ilvl w:val="0"/>
          <w:numId w:val="33"/>
        </w:numPr>
        <w:tabs>
          <w:tab w:val="left" w:pos="567"/>
        </w:tabs>
        <w:ind w:right="-54"/>
        <w:jc w:val="both"/>
        <w:rPr>
          <w:rFonts w:cs="Arial"/>
          <w:szCs w:val="24"/>
        </w:rPr>
      </w:pPr>
      <w:r w:rsidRPr="00F21AD8">
        <w:rPr>
          <w:rFonts w:ascii="Arial" w:hAnsi="Arial" w:cs="Arial"/>
          <w:sz w:val="24"/>
          <w:szCs w:val="24"/>
        </w:rPr>
        <w:t xml:space="preserve">We continue to </w:t>
      </w:r>
      <w:r w:rsidRPr="00F21AD8" w:rsidR="007C78C4">
        <w:rPr>
          <w:rFonts w:ascii="Arial" w:hAnsi="Arial" w:cs="Arial"/>
          <w:sz w:val="24"/>
          <w:szCs w:val="24"/>
        </w:rPr>
        <w:t>work to reduce the backlog and improve</w:t>
      </w:r>
      <w:r w:rsidR="00802C43">
        <w:rPr>
          <w:rFonts w:ascii="Arial" w:hAnsi="Arial" w:cs="Arial"/>
          <w:sz w:val="24"/>
          <w:szCs w:val="24"/>
        </w:rPr>
        <w:t xml:space="preserve"> compliance rates.</w:t>
      </w:r>
    </w:p>
    <w:p w:rsidRPr="005F2CDE" w:rsidR="00744B01" w:rsidP="00800C17" w:rsidRDefault="00087B0E" w14:paraId="46AE5A6F" w14:textId="27FAB815">
      <w:pPr>
        <w:pStyle w:val="ListParagraph"/>
        <w:numPr>
          <w:ilvl w:val="0"/>
          <w:numId w:val="33"/>
        </w:numPr>
        <w:tabs>
          <w:tab w:val="left" w:pos="567"/>
        </w:tabs>
        <w:ind w:right="-54"/>
        <w:jc w:val="both"/>
        <w:rPr>
          <w:rFonts w:cs="Arial"/>
          <w:szCs w:val="24"/>
        </w:rPr>
      </w:pPr>
      <w:r>
        <w:rPr>
          <w:rFonts w:ascii="Arial" w:hAnsi="Arial" w:cs="Arial"/>
          <w:sz w:val="24"/>
          <w:szCs w:val="24"/>
        </w:rPr>
        <w:t>The triage process initiated in November 2021 remains in place</w:t>
      </w:r>
      <w:r w:rsidRPr="005F2CDE" w:rsidR="00744B01">
        <w:rPr>
          <w:rFonts w:ascii="Arial" w:hAnsi="Arial" w:cs="Arial"/>
          <w:sz w:val="24"/>
          <w:szCs w:val="24"/>
        </w:rPr>
        <w:t xml:space="preserve"> wh</w:t>
      </w:r>
      <w:r>
        <w:rPr>
          <w:rFonts w:ascii="Arial" w:hAnsi="Arial" w:cs="Arial"/>
          <w:sz w:val="24"/>
          <w:szCs w:val="24"/>
        </w:rPr>
        <w:t>ereby</w:t>
      </w:r>
      <w:r w:rsidRPr="005F2CDE" w:rsidR="00744B01">
        <w:rPr>
          <w:rFonts w:ascii="Arial" w:hAnsi="Arial" w:cs="Arial"/>
          <w:sz w:val="24"/>
          <w:szCs w:val="24"/>
        </w:rPr>
        <w:t xml:space="preserve"> all FOI requests received are subject to initial review by the Information Request Team Leader and assigned a RAG status based on the nature of the request. The RAG status of the request will dictate what level of review the response to the request undergoes. This is to ensure that key engagement with relevant subject matter experts (SME) is made in order to ensure that the information being provided is accurate and that any contextual information to assist the applicant in understanding the information is provided. It also assists the Freedom of Information Request officer in identifying any operational risks posed by disclosure which enables them to consider whether any appropriate FOI exemptions are engaged. </w:t>
      </w:r>
    </w:p>
    <w:p w:rsidR="00345829" w:rsidP="00964F39" w:rsidRDefault="00345829" w14:paraId="49C53463" w14:textId="77777777">
      <w:pPr>
        <w:pStyle w:val="ListParagraph"/>
        <w:tabs>
          <w:tab w:val="left" w:pos="567"/>
        </w:tabs>
        <w:ind w:left="1134" w:right="-54" w:hanging="850"/>
        <w:rPr>
          <w:rFonts w:ascii="Arial" w:hAnsi="Arial" w:cs="Arial"/>
          <w:sz w:val="24"/>
          <w:szCs w:val="24"/>
        </w:rPr>
      </w:pPr>
    </w:p>
    <w:p w:rsidR="00345829" w:rsidP="00964F39" w:rsidRDefault="00744B01" w14:paraId="2D779D79" w14:textId="76B0FF6A">
      <w:pPr>
        <w:pStyle w:val="ListParagraph"/>
        <w:tabs>
          <w:tab w:val="left" w:pos="567"/>
        </w:tabs>
        <w:ind w:left="1134" w:right="-54" w:hanging="850"/>
        <w:rPr>
          <w:rFonts w:ascii="Arial" w:hAnsi="Arial" w:cs="Arial"/>
          <w:sz w:val="24"/>
          <w:szCs w:val="24"/>
        </w:rPr>
      </w:pPr>
      <w:r>
        <w:rPr>
          <w:rFonts w:ascii="Arial" w:hAnsi="Arial" w:cs="Arial"/>
          <w:noProof/>
          <w:sz w:val="24"/>
          <w:szCs w:val="24"/>
        </w:rPr>
        <w:lastRenderedPageBreak/>
        <w:drawing>
          <wp:inline distT="0" distB="0" distL="0" distR="0" wp14:anchorId="13FFD1CE" wp14:editId="0A6F9B99">
            <wp:extent cx="6102350" cy="3438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2350" cy="3438525"/>
                    </a:xfrm>
                    <a:prstGeom prst="rect">
                      <a:avLst/>
                    </a:prstGeom>
                    <a:noFill/>
                  </pic:spPr>
                </pic:pic>
              </a:graphicData>
            </a:graphic>
          </wp:inline>
        </w:drawing>
      </w:r>
    </w:p>
    <w:p w:rsidR="00345829" w:rsidP="00964F39" w:rsidRDefault="00345829" w14:paraId="60E0E6D3" w14:textId="77777777">
      <w:pPr>
        <w:pStyle w:val="ListParagraph"/>
        <w:tabs>
          <w:tab w:val="left" w:pos="567"/>
        </w:tabs>
        <w:ind w:left="1134" w:right="-54" w:hanging="850"/>
        <w:rPr>
          <w:rFonts w:ascii="Arial" w:hAnsi="Arial" w:cs="Arial"/>
          <w:sz w:val="24"/>
          <w:szCs w:val="24"/>
        </w:rPr>
      </w:pPr>
    </w:p>
    <w:p w:rsidR="00345829" w:rsidP="00964F39" w:rsidRDefault="00744B01" w14:paraId="2F040B83" w14:textId="0BB32703">
      <w:pPr>
        <w:pStyle w:val="ListParagraph"/>
        <w:tabs>
          <w:tab w:val="left" w:pos="567"/>
        </w:tabs>
        <w:ind w:left="1134" w:right="-54" w:hanging="850"/>
        <w:rPr>
          <w:rFonts w:ascii="Arial" w:hAnsi="Arial" w:cs="Arial"/>
          <w:sz w:val="24"/>
          <w:szCs w:val="24"/>
        </w:rPr>
      </w:pPr>
      <w:r>
        <w:rPr>
          <w:rFonts w:ascii="Arial" w:hAnsi="Arial" w:cs="Arial"/>
          <w:noProof/>
          <w:sz w:val="24"/>
          <w:szCs w:val="24"/>
        </w:rPr>
        <w:drawing>
          <wp:inline distT="0" distB="0" distL="0" distR="0" wp14:anchorId="1290A19B" wp14:editId="73A7E96E">
            <wp:extent cx="5645150" cy="3230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5150" cy="3230880"/>
                    </a:xfrm>
                    <a:prstGeom prst="rect">
                      <a:avLst/>
                    </a:prstGeom>
                    <a:noFill/>
                  </pic:spPr>
                </pic:pic>
              </a:graphicData>
            </a:graphic>
          </wp:inline>
        </w:drawing>
      </w:r>
    </w:p>
    <w:p w:rsidR="00345829" w:rsidP="00964F39" w:rsidRDefault="00345829" w14:paraId="493A78C8" w14:textId="2CD9E691">
      <w:pPr>
        <w:pStyle w:val="ListParagraph"/>
        <w:tabs>
          <w:tab w:val="left" w:pos="567"/>
        </w:tabs>
        <w:ind w:left="1134" w:right="-54" w:hanging="850"/>
        <w:rPr>
          <w:rFonts w:ascii="Arial" w:hAnsi="Arial" w:cs="Arial"/>
          <w:sz w:val="24"/>
          <w:szCs w:val="24"/>
        </w:rPr>
      </w:pPr>
    </w:p>
    <w:p w:rsidR="00636779" w:rsidP="00800C17" w:rsidRDefault="001C72D6" w14:paraId="0526C9A6" w14:textId="32159EC0">
      <w:pPr>
        <w:tabs>
          <w:tab w:val="left" w:pos="567"/>
        </w:tabs>
        <w:ind w:right="-54"/>
        <w:jc w:val="both"/>
        <w:rPr>
          <w:rFonts w:cs="Arial"/>
          <w:b/>
          <w:szCs w:val="24"/>
        </w:rPr>
      </w:pPr>
      <w:r w:rsidRPr="001C72D6">
        <w:rPr>
          <w:rFonts w:cs="Arial"/>
          <w:b/>
          <w:szCs w:val="24"/>
        </w:rPr>
        <w:t>4.4</w:t>
      </w:r>
      <w:r w:rsidRPr="00636779" w:rsidR="00636779">
        <w:rPr>
          <w:rFonts w:cs="Arial"/>
          <w:szCs w:val="24"/>
        </w:rPr>
        <w:t xml:space="preserve"> </w:t>
      </w:r>
      <w:r w:rsidRPr="00636779" w:rsidR="00636779">
        <w:rPr>
          <w:rFonts w:cs="Arial"/>
          <w:b/>
          <w:szCs w:val="24"/>
        </w:rPr>
        <w:t>T</w:t>
      </w:r>
      <w:r w:rsidR="00636779">
        <w:rPr>
          <w:rFonts w:cs="Arial"/>
          <w:b/>
          <w:szCs w:val="24"/>
        </w:rPr>
        <w:t>able 2</w:t>
      </w:r>
      <w:r w:rsidRPr="00636779" w:rsidR="00636779">
        <w:rPr>
          <w:rFonts w:cs="Arial"/>
          <w:b/>
          <w:szCs w:val="24"/>
        </w:rPr>
        <w:t xml:space="preserve"> – FOI </w:t>
      </w:r>
      <w:r w:rsidR="00636779">
        <w:rPr>
          <w:rFonts w:cs="Arial"/>
          <w:b/>
          <w:szCs w:val="24"/>
        </w:rPr>
        <w:t xml:space="preserve">Internal Review </w:t>
      </w:r>
      <w:r w:rsidRPr="00636779" w:rsidR="00636779">
        <w:rPr>
          <w:rFonts w:cs="Arial"/>
          <w:b/>
          <w:szCs w:val="24"/>
        </w:rPr>
        <w:t xml:space="preserve">Completion Figures from </w:t>
      </w:r>
      <w:r w:rsidR="00975DE1">
        <w:rPr>
          <w:rFonts w:cs="Arial"/>
          <w:b/>
          <w:szCs w:val="24"/>
        </w:rPr>
        <w:t>May 20</w:t>
      </w:r>
      <w:r w:rsidR="00087B0E">
        <w:rPr>
          <w:rFonts w:cs="Arial"/>
          <w:b/>
          <w:szCs w:val="24"/>
        </w:rPr>
        <w:t>21 to May 2022.</w:t>
      </w:r>
    </w:p>
    <w:p w:rsidRPr="00087B0E" w:rsidR="00B54187" w:rsidP="00800C17" w:rsidRDefault="00B54187" w14:paraId="3C12AB4A" w14:textId="77777777">
      <w:pPr>
        <w:tabs>
          <w:tab w:val="left" w:pos="567"/>
        </w:tabs>
        <w:spacing w:line="240" w:lineRule="auto"/>
        <w:ind w:right="-54"/>
        <w:jc w:val="both"/>
        <w:rPr>
          <w:rFonts w:cs="Arial"/>
          <w:szCs w:val="24"/>
        </w:rPr>
      </w:pPr>
      <w:r w:rsidRPr="00087B0E">
        <w:rPr>
          <w:rFonts w:cs="Arial"/>
          <w:szCs w:val="24"/>
        </w:rPr>
        <w:t xml:space="preserve">All requestors have the right to </w:t>
      </w:r>
      <w:r w:rsidRPr="00087B0E" w:rsidR="00263A5B">
        <w:rPr>
          <w:rFonts w:cs="Arial"/>
          <w:szCs w:val="24"/>
        </w:rPr>
        <w:t>an internal review</w:t>
      </w:r>
      <w:r w:rsidRPr="00087B0E">
        <w:rPr>
          <w:rFonts w:cs="Arial"/>
          <w:szCs w:val="24"/>
        </w:rPr>
        <w:t xml:space="preserve"> if they are unhappy with the handling of a request for information, made under the FOIA.  This could be because: </w:t>
      </w:r>
    </w:p>
    <w:p w:rsidRPr="00087B0E" w:rsidR="00B54187" w:rsidP="00800C17" w:rsidRDefault="00B54187" w14:paraId="33420263" w14:textId="77777777">
      <w:pPr>
        <w:pStyle w:val="ListParagraph"/>
        <w:numPr>
          <w:ilvl w:val="0"/>
          <w:numId w:val="31"/>
        </w:numPr>
        <w:tabs>
          <w:tab w:val="left" w:pos="567"/>
        </w:tabs>
        <w:spacing w:line="240" w:lineRule="auto"/>
        <w:ind w:right="-54"/>
        <w:jc w:val="both"/>
        <w:rPr>
          <w:rFonts w:ascii="Arial" w:hAnsi="Arial" w:cs="Arial"/>
          <w:sz w:val="24"/>
          <w:szCs w:val="24"/>
        </w:rPr>
      </w:pPr>
      <w:r w:rsidRPr="00087B0E">
        <w:rPr>
          <w:rFonts w:ascii="Arial" w:hAnsi="Arial" w:cs="Arial"/>
          <w:sz w:val="24"/>
          <w:szCs w:val="24"/>
        </w:rPr>
        <w:t xml:space="preserve">an exemption was applied, meaning the request (or a part of it) was </w:t>
      </w:r>
      <w:proofErr w:type="gramStart"/>
      <w:r w:rsidRPr="00087B0E">
        <w:rPr>
          <w:rFonts w:ascii="Arial" w:hAnsi="Arial" w:cs="Arial"/>
          <w:sz w:val="24"/>
          <w:szCs w:val="24"/>
        </w:rPr>
        <w:t>denied;</w:t>
      </w:r>
      <w:proofErr w:type="gramEnd"/>
      <w:r w:rsidRPr="00087B0E">
        <w:rPr>
          <w:rFonts w:ascii="Arial" w:hAnsi="Arial" w:cs="Arial"/>
          <w:sz w:val="24"/>
          <w:szCs w:val="24"/>
        </w:rPr>
        <w:t xml:space="preserve"> </w:t>
      </w:r>
    </w:p>
    <w:p w:rsidRPr="00087B0E" w:rsidR="00B54187" w:rsidP="00800C17" w:rsidRDefault="00B54187" w14:paraId="066254E7" w14:textId="77777777">
      <w:pPr>
        <w:pStyle w:val="ListParagraph"/>
        <w:numPr>
          <w:ilvl w:val="0"/>
          <w:numId w:val="31"/>
        </w:numPr>
        <w:tabs>
          <w:tab w:val="left" w:pos="567"/>
        </w:tabs>
        <w:ind w:right="-54"/>
        <w:jc w:val="both"/>
        <w:rPr>
          <w:rFonts w:ascii="Arial" w:hAnsi="Arial" w:cs="Arial"/>
          <w:sz w:val="24"/>
          <w:szCs w:val="24"/>
        </w:rPr>
      </w:pPr>
      <w:r w:rsidRPr="00087B0E">
        <w:rPr>
          <w:rFonts w:ascii="Arial" w:hAnsi="Arial" w:cs="Arial"/>
          <w:sz w:val="24"/>
          <w:szCs w:val="24"/>
        </w:rPr>
        <w:t xml:space="preserve">the </w:t>
      </w:r>
      <w:proofErr w:type="gramStart"/>
      <w:r w:rsidRPr="00087B0E">
        <w:rPr>
          <w:rFonts w:ascii="Arial" w:hAnsi="Arial" w:cs="Arial"/>
          <w:sz w:val="24"/>
          <w:szCs w:val="24"/>
        </w:rPr>
        <w:t>20 working</w:t>
      </w:r>
      <w:proofErr w:type="gramEnd"/>
      <w:r w:rsidRPr="00087B0E">
        <w:rPr>
          <w:rFonts w:ascii="Arial" w:hAnsi="Arial" w:cs="Arial"/>
          <w:sz w:val="24"/>
          <w:szCs w:val="24"/>
        </w:rPr>
        <w:t xml:space="preserve"> day deadline was not met; </w:t>
      </w:r>
    </w:p>
    <w:p w:rsidRPr="00087B0E" w:rsidR="00B54187" w:rsidP="00800C17" w:rsidRDefault="00B54187" w14:paraId="055FD998" w14:textId="77777777">
      <w:pPr>
        <w:pStyle w:val="ListParagraph"/>
        <w:numPr>
          <w:ilvl w:val="0"/>
          <w:numId w:val="31"/>
        </w:numPr>
        <w:tabs>
          <w:tab w:val="left" w:pos="567"/>
        </w:tabs>
        <w:ind w:right="-54"/>
        <w:jc w:val="both"/>
        <w:rPr>
          <w:rFonts w:ascii="Arial" w:hAnsi="Arial" w:cs="Arial"/>
          <w:sz w:val="24"/>
          <w:szCs w:val="24"/>
        </w:rPr>
      </w:pPr>
      <w:r w:rsidRPr="00087B0E">
        <w:rPr>
          <w:rFonts w:ascii="Arial" w:hAnsi="Arial" w:cs="Arial"/>
          <w:sz w:val="24"/>
          <w:szCs w:val="24"/>
        </w:rPr>
        <w:t xml:space="preserve">a full response was not provided; or </w:t>
      </w:r>
    </w:p>
    <w:p w:rsidRPr="00087B0E" w:rsidR="00556D1C" w:rsidP="00800C17" w:rsidRDefault="00B54187" w14:paraId="492B4E1F" w14:textId="77777777">
      <w:pPr>
        <w:pStyle w:val="ListParagraph"/>
        <w:numPr>
          <w:ilvl w:val="0"/>
          <w:numId w:val="31"/>
        </w:numPr>
        <w:tabs>
          <w:tab w:val="left" w:pos="567"/>
        </w:tabs>
        <w:ind w:right="-54"/>
        <w:jc w:val="both"/>
        <w:rPr>
          <w:rFonts w:ascii="Arial" w:hAnsi="Arial" w:cs="Arial"/>
          <w:sz w:val="24"/>
          <w:szCs w:val="24"/>
        </w:rPr>
      </w:pPr>
      <w:r w:rsidRPr="00087B0E">
        <w:rPr>
          <w:rFonts w:ascii="Arial" w:hAnsi="Arial" w:cs="Arial"/>
          <w:sz w:val="24"/>
          <w:szCs w:val="24"/>
        </w:rPr>
        <w:t>the request was otherwise not handled correctly.</w:t>
      </w:r>
    </w:p>
    <w:p w:rsidRPr="00087B0E" w:rsidR="00B54187" w:rsidP="00800C17" w:rsidRDefault="00263A5B" w14:paraId="1D60D40E" w14:textId="335C1A80">
      <w:pPr>
        <w:tabs>
          <w:tab w:val="left" w:pos="567"/>
        </w:tabs>
        <w:ind w:right="-54"/>
        <w:jc w:val="both"/>
        <w:rPr>
          <w:rFonts w:cs="Arial"/>
          <w:szCs w:val="24"/>
        </w:rPr>
      </w:pPr>
      <w:r w:rsidRPr="00087B0E">
        <w:rPr>
          <w:rFonts w:cs="Arial"/>
          <w:szCs w:val="24"/>
        </w:rPr>
        <w:t>Unlike FOI requests, there is no statutory time frame for carrying out internal reviews, but we aim to provide a full response within 20 working days</w:t>
      </w:r>
    </w:p>
    <w:p w:rsidR="002E24F2" w:rsidP="00800C17" w:rsidRDefault="00802C43" w14:paraId="26B3D9EE" w14:textId="4133372F">
      <w:pPr>
        <w:tabs>
          <w:tab w:val="left" w:pos="567"/>
        </w:tabs>
        <w:ind w:left="720" w:right="-54" w:hanging="578"/>
        <w:jc w:val="both"/>
        <w:rPr>
          <w:rFonts w:cs="Arial"/>
          <w:szCs w:val="24"/>
        </w:rPr>
      </w:pPr>
      <w:r>
        <w:rPr>
          <w:noProof/>
        </w:rPr>
        <w:lastRenderedPageBreak/>
        <w:drawing>
          <wp:inline distT="0" distB="0" distL="0" distR="0" wp14:anchorId="64D8D054" wp14:editId="66D55CB0">
            <wp:extent cx="6254750" cy="3524250"/>
            <wp:effectExtent l="0" t="0" r="12700" b="0"/>
            <wp:docPr id="3" name="Chart 3">
              <a:extLst xmlns:a="http://schemas.openxmlformats.org/drawingml/2006/main">
                <a:ext uri="{FF2B5EF4-FFF2-40B4-BE49-F238E27FC236}">
                  <a16:creationId xmlns:a16="http://schemas.microsoft.com/office/drawing/2014/main" id="{F1FDC8A1-D6E7-42A8-961A-149BA112F0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7B0E" w:rsidP="00800C17" w:rsidRDefault="00087B0E" w14:paraId="29280DDC" w14:textId="77777777">
      <w:pPr>
        <w:tabs>
          <w:tab w:val="left" w:pos="567"/>
        </w:tabs>
        <w:ind w:left="284" w:right="-54"/>
        <w:jc w:val="both"/>
        <w:rPr>
          <w:rFonts w:cs="Arial"/>
          <w:b/>
          <w:bCs/>
          <w:szCs w:val="24"/>
        </w:rPr>
      </w:pPr>
    </w:p>
    <w:p w:rsidRPr="00086A7F" w:rsidR="006F3BC7" w:rsidP="00800C17" w:rsidRDefault="006F3BC7" w14:paraId="5CBC45D1" w14:textId="1FD0D27F">
      <w:pPr>
        <w:tabs>
          <w:tab w:val="left" w:pos="567"/>
        </w:tabs>
        <w:ind w:left="284" w:right="-54"/>
        <w:jc w:val="both"/>
        <w:rPr>
          <w:rFonts w:cs="Arial"/>
          <w:b/>
          <w:bCs/>
          <w:szCs w:val="24"/>
        </w:rPr>
      </w:pPr>
      <w:r w:rsidRPr="00086A7F">
        <w:rPr>
          <w:rFonts w:cs="Arial"/>
          <w:b/>
          <w:bCs/>
          <w:szCs w:val="24"/>
        </w:rPr>
        <w:t xml:space="preserve">Current Demand Levels: </w:t>
      </w:r>
      <w:r w:rsidRPr="00086A7F" w:rsidR="00086A7F">
        <w:rPr>
          <w:rFonts w:cs="Arial"/>
          <w:b/>
          <w:bCs/>
          <w:szCs w:val="24"/>
        </w:rPr>
        <w:t>Internal Reviews</w:t>
      </w:r>
    </w:p>
    <w:p w:rsidR="001B555B" w:rsidP="00800C17" w:rsidRDefault="004D01A6" w14:paraId="5F7F8E3C" w14:textId="68DC3D19">
      <w:pPr>
        <w:pStyle w:val="ListParagraph"/>
        <w:numPr>
          <w:ilvl w:val="0"/>
          <w:numId w:val="35"/>
        </w:numPr>
        <w:tabs>
          <w:tab w:val="left" w:pos="567"/>
        </w:tabs>
        <w:ind w:right="-54"/>
        <w:jc w:val="both"/>
        <w:rPr>
          <w:rFonts w:ascii="Arial" w:hAnsi="Arial" w:cs="Arial"/>
          <w:sz w:val="24"/>
          <w:szCs w:val="24"/>
        </w:rPr>
      </w:pPr>
      <w:r>
        <w:rPr>
          <w:rFonts w:ascii="Arial" w:hAnsi="Arial" w:cs="Arial"/>
          <w:sz w:val="24"/>
          <w:szCs w:val="24"/>
        </w:rPr>
        <w:t>The number</w:t>
      </w:r>
      <w:r w:rsidRPr="00970436" w:rsidR="00970436">
        <w:rPr>
          <w:rFonts w:ascii="Arial" w:hAnsi="Arial" w:cs="Arial"/>
          <w:sz w:val="24"/>
          <w:szCs w:val="24"/>
        </w:rPr>
        <w:t xml:space="preserve"> of internal reviews remain small </w:t>
      </w:r>
      <w:r w:rsidR="00142824">
        <w:rPr>
          <w:rFonts w:ascii="Arial" w:hAnsi="Arial" w:cs="Arial"/>
          <w:sz w:val="24"/>
          <w:szCs w:val="24"/>
        </w:rPr>
        <w:t xml:space="preserve">in comparison to the number of FOI requests received each month </w:t>
      </w:r>
      <w:r w:rsidRPr="00970436" w:rsidR="00970436">
        <w:rPr>
          <w:rFonts w:ascii="Arial" w:hAnsi="Arial" w:cs="Arial"/>
          <w:sz w:val="24"/>
          <w:szCs w:val="24"/>
        </w:rPr>
        <w:t xml:space="preserve">which </w:t>
      </w:r>
      <w:r w:rsidR="00970436">
        <w:rPr>
          <w:rFonts w:ascii="Arial" w:hAnsi="Arial" w:cs="Arial"/>
          <w:sz w:val="24"/>
          <w:szCs w:val="24"/>
        </w:rPr>
        <w:t>i</w:t>
      </w:r>
      <w:r w:rsidR="00A37C37">
        <w:rPr>
          <w:rFonts w:ascii="Arial" w:hAnsi="Arial" w:cs="Arial"/>
          <w:sz w:val="24"/>
          <w:szCs w:val="24"/>
        </w:rPr>
        <w:t xml:space="preserve">s a good indicator that the </w:t>
      </w:r>
      <w:r w:rsidR="00970436">
        <w:rPr>
          <w:rFonts w:ascii="Arial" w:hAnsi="Arial" w:cs="Arial"/>
          <w:sz w:val="24"/>
          <w:szCs w:val="24"/>
        </w:rPr>
        <w:t xml:space="preserve">majority of </w:t>
      </w:r>
      <w:r w:rsidR="00A37C37">
        <w:rPr>
          <w:rFonts w:ascii="Arial" w:hAnsi="Arial" w:cs="Arial"/>
          <w:sz w:val="24"/>
          <w:szCs w:val="24"/>
        </w:rPr>
        <w:t>FOI requestors are satisfied with the responses they receive.</w:t>
      </w:r>
    </w:p>
    <w:p w:rsidR="00416A26" w:rsidP="00800C17" w:rsidRDefault="001C72D6" w14:paraId="3B80805E" w14:textId="5C03D32D">
      <w:pPr>
        <w:tabs>
          <w:tab w:val="left" w:pos="567"/>
        </w:tabs>
        <w:ind w:right="-54"/>
        <w:jc w:val="both"/>
        <w:rPr>
          <w:rFonts w:cs="Arial"/>
          <w:b/>
          <w:szCs w:val="24"/>
        </w:rPr>
      </w:pPr>
      <w:r w:rsidRPr="001C72D6">
        <w:rPr>
          <w:rFonts w:cs="Arial"/>
          <w:b/>
          <w:szCs w:val="24"/>
        </w:rPr>
        <w:t>4.5</w:t>
      </w:r>
      <w:r w:rsidR="00416A26">
        <w:rPr>
          <w:rFonts w:cs="Arial"/>
          <w:szCs w:val="24"/>
        </w:rPr>
        <w:t xml:space="preserve"> </w:t>
      </w:r>
      <w:r w:rsidRPr="00985EB5" w:rsidR="00416A26">
        <w:rPr>
          <w:rFonts w:cs="Arial"/>
          <w:b/>
          <w:szCs w:val="24"/>
        </w:rPr>
        <w:t xml:space="preserve">Table </w:t>
      </w:r>
      <w:r w:rsidR="001B555B">
        <w:rPr>
          <w:rFonts w:cs="Arial"/>
          <w:b/>
          <w:szCs w:val="24"/>
        </w:rPr>
        <w:t>3</w:t>
      </w:r>
      <w:r w:rsidRPr="00985EB5" w:rsidR="00416A26">
        <w:rPr>
          <w:rFonts w:cs="Arial"/>
          <w:b/>
          <w:szCs w:val="24"/>
        </w:rPr>
        <w:t xml:space="preserve"> – SAR Completion Figures from </w:t>
      </w:r>
      <w:r w:rsidR="001C0F67">
        <w:rPr>
          <w:rFonts w:cs="Arial"/>
          <w:b/>
          <w:szCs w:val="24"/>
        </w:rPr>
        <w:t>May 202</w:t>
      </w:r>
      <w:r w:rsidR="00087B0E">
        <w:rPr>
          <w:rFonts w:cs="Arial"/>
          <w:b/>
          <w:szCs w:val="24"/>
        </w:rPr>
        <w:t>2</w:t>
      </w:r>
      <w:r w:rsidR="001C0F67">
        <w:rPr>
          <w:rFonts w:cs="Arial"/>
          <w:b/>
          <w:szCs w:val="24"/>
        </w:rPr>
        <w:t xml:space="preserve"> to May 202</w:t>
      </w:r>
      <w:r w:rsidR="00087B0E">
        <w:rPr>
          <w:rFonts w:cs="Arial"/>
          <w:b/>
          <w:szCs w:val="24"/>
        </w:rPr>
        <w:t>2</w:t>
      </w:r>
    </w:p>
    <w:p w:rsidRPr="00087B0E" w:rsidR="00D96491" w:rsidP="00800C17" w:rsidRDefault="00F67BF6" w14:paraId="0AFC6186" w14:textId="3FFF5660">
      <w:pPr>
        <w:tabs>
          <w:tab w:val="left" w:pos="567"/>
        </w:tabs>
        <w:ind w:left="284" w:right="-54"/>
        <w:jc w:val="both"/>
        <w:rPr>
          <w:rFonts w:cs="Arial"/>
          <w:b/>
          <w:szCs w:val="24"/>
        </w:rPr>
      </w:pPr>
      <w:r w:rsidRPr="00087B0E">
        <w:rPr>
          <w:rFonts w:cs="Arial"/>
          <w:color w:val="000000" w:themeColor="text1"/>
          <w:szCs w:val="24"/>
        </w:rPr>
        <w:t xml:space="preserve">The Force monitors compliance and provides quarterly statistics for </w:t>
      </w:r>
      <w:r w:rsidR="00802C43">
        <w:rPr>
          <w:rFonts w:cs="Arial"/>
          <w:color w:val="000000" w:themeColor="text1"/>
          <w:szCs w:val="24"/>
        </w:rPr>
        <w:t>Subject Access Requests</w:t>
      </w:r>
      <w:r w:rsidRPr="00087B0E">
        <w:rPr>
          <w:rFonts w:cs="Arial"/>
          <w:color w:val="000000" w:themeColor="text1"/>
          <w:szCs w:val="24"/>
        </w:rPr>
        <w:t xml:space="preserve"> to the NPCC Central Referral Unit based in Hampshire.  Since September 2019 compliance figures in respect of FOI and Subject Access requests have been provided to the Information Commissioners Office for performance monitoring purposes and are published on the ICO website.</w:t>
      </w:r>
    </w:p>
    <w:p w:rsidR="005F2CDE" w:rsidP="00800C17" w:rsidRDefault="005F2CDE" w14:paraId="4771D9D2" w14:textId="38E1A31C">
      <w:pPr>
        <w:tabs>
          <w:tab w:val="left" w:pos="567"/>
        </w:tabs>
        <w:ind w:right="-54"/>
        <w:jc w:val="both"/>
        <w:rPr>
          <w:rFonts w:cs="Arial"/>
          <w:b/>
          <w:bCs/>
          <w:szCs w:val="24"/>
        </w:rPr>
      </w:pPr>
    </w:p>
    <w:p w:rsidR="00A736A4" w:rsidP="00800C17" w:rsidRDefault="00A736A4" w14:paraId="433B2AE2" w14:textId="4FE90567">
      <w:pPr>
        <w:tabs>
          <w:tab w:val="left" w:pos="567"/>
        </w:tabs>
        <w:ind w:right="-54"/>
        <w:jc w:val="both"/>
        <w:rPr>
          <w:rFonts w:cs="Arial"/>
          <w:b/>
          <w:bCs/>
          <w:szCs w:val="24"/>
        </w:rPr>
      </w:pPr>
    </w:p>
    <w:p w:rsidR="00A736A4" w:rsidP="00800C17" w:rsidRDefault="00A736A4" w14:paraId="39813070" w14:textId="2C2C015F">
      <w:pPr>
        <w:tabs>
          <w:tab w:val="left" w:pos="567"/>
        </w:tabs>
        <w:ind w:right="-54"/>
        <w:jc w:val="both"/>
        <w:rPr>
          <w:rFonts w:cs="Arial"/>
          <w:b/>
          <w:bCs/>
          <w:szCs w:val="24"/>
        </w:rPr>
      </w:pPr>
    </w:p>
    <w:p w:rsidR="00A736A4" w:rsidP="00800C17" w:rsidRDefault="00A736A4" w14:paraId="2F3D5455" w14:textId="5ED90AE8">
      <w:pPr>
        <w:tabs>
          <w:tab w:val="left" w:pos="567"/>
        </w:tabs>
        <w:ind w:right="-54"/>
        <w:jc w:val="both"/>
        <w:rPr>
          <w:rFonts w:cs="Arial"/>
          <w:b/>
          <w:bCs/>
          <w:szCs w:val="24"/>
        </w:rPr>
      </w:pPr>
    </w:p>
    <w:p w:rsidR="00A736A4" w:rsidP="00800C17" w:rsidRDefault="00A736A4" w14:paraId="478451CE" w14:textId="3A43186A">
      <w:pPr>
        <w:tabs>
          <w:tab w:val="left" w:pos="567"/>
        </w:tabs>
        <w:ind w:right="-54"/>
        <w:jc w:val="both"/>
        <w:rPr>
          <w:rFonts w:cs="Arial"/>
          <w:b/>
          <w:bCs/>
          <w:szCs w:val="24"/>
        </w:rPr>
      </w:pPr>
    </w:p>
    <w:p w:rsidR="00A736A4" w:rsidP="00800C17" w:rsidRDefault="00A736A4" w14:paraId="3B0C6669" w14:textId="65C1A40E">
      <w:pPr>
        <w:tabs>
          <w:tab w:val="left" w:pos="567"/>
        </w:tabs>
        <w:ind w:right="-54"/>
        <w:jc w:val="both"/>
        <w:rPr>
          <w:rFonts w:cs="Arial"/>
          <w:b/>
          <w:bCs/>
          <w:szCs w:val="24"/>
        </w:rPr>
      </w:pPr>
    </w:p>
    <w:p w:rsidR="00A736A4" w:rsidP="00800C17" w:rsidRDefault="00A736A4" w14:paraId="50BFAC17" w14:textId="6439C39F">
      <w:pPr>
        <w:tabs>
          <w:tab w:val="left" w:pos="567"/>
        </w:tabs>
        <w:ind w:right="-54"/>
        <w:jc w:val="both"/>
        <w:rPr>
          <w:rFonts w:cs="Arial"/>
          <w:b/>
          <w:bCs/>
          <w:szCs w:val="24"/>
        </w:rPr>
      </w:pPr>
    </w:p>
    <w:p w:rsidR="00A736A4" w:rsidP="00800C17" w:rsidRDefault="00A736A4" w14:paraId="17129FBA" w14:textId="40866ACD">
      <w:pPr>
        <w:tabs>
          <w:tab w:val="left" w:pos="567"/>
        </w:tabs>
        <w:ind w:right="-54"/>
        <w:jc w:val="both"/>
        <w:rPr>
          <w:rFonts w:cs="Arial"/>
          <w:b/>
          <w:bCs/>
          <w:szCs w:val="24"/>
        </w:rPr>
      </w:pPr>
    </w:p>
    <w:p w:rsidR="00A736A4" w:rsidP="00800C17" w:rsidRDefault="00A736A4" w14:paraId="7FBC1834" w14:textId="41A1795E">
      <w:pPr>
        <w:tabs>
          <w:tab w:val="left" w:pos="567"/>
        </w:tabs>
        <w:ind w:right="-54"/>
        <w:jc w:val="both"/>
        <w:rPr>
          <w:rFonts w:cs="Arial"/>
          <w:b/>
          <w:bCs/>
          <w:szCs w:val="24"/>
        </w:rPr>
      </w:pPr>
    </w:p>
    <w:p w:rsidR="00A736A4" w:rsidP="00800C17" w:rsidRDefault="00A736A4" w14:paraId="197D1227" w14:textId="2AA53F71">
      <w:pPr>
        <w:tabs>
          <w:tab w:val="left" w:pos="567"/>
        </w:tabs>
        <w:ind w:right="-54"/>
        <w:jc w:val="both"/>
        <w:rPr>
          <w:rFonts w:cs="Arial"/>
          <w:b/>
          <w:bCs/>
          <w:szCs w:val="24"/>
        </w:rPr>
      </w:pPr>
    </w:p>
    <w:p w:rsidR="00802C43" w:rsidP="00800C17" w:rsidRDefault="00802C43" w14:paraId="207F9989" w14:textId="14F4774D">
      <w:pPr>
        <w:tabs>
          <w:tab w:val="left" w:pos="567"/>
        </w:tabs>
        <w:ind w:right="-54"/>
        <w:jc w:val="both"/>
        <w:rPr>
          <w:rFonts w:cs="Arial"/>
          <w:b/>
          <w:bCs/>
          <w:szCs w:val="24"/>
        </w:rPr>
      </w:pPr>
      <w:r>
        <w:rPr>
          <w:noProof/>
        </w:rPr>
        <w:drawing>
          <wp:inline distT="0" distB="0" distL="0" distR="0" wp14:anchorId="01918245" wp14:editId="1C6E559B">
            <wp:extent cx="6480810" cy="3454400"/>
            <wp:effectExtent l="0" t="0" r="15240" b="12700"/>
            <wp:docPr id="4" name="Chart 4">
              <a:extLst xmlns:a="http://schemas.openxmlformats.org/drawingml/2006/main">
                <a:ext uri="{FF2B5EF4-FFF2-40B4-BE49-F238E27FC236}">
                  <a16:creationId xmlns:a16="http://schemas.microsoft.com/office/drawing/2014/main" id="{538FAACC-2880-46CB-B7BA-5F554BB89A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2C43" w:rsidP="00800C17" w:rsidRDefault="00802C43" w14:paraId="7D4A426E" w14:textId="24E37F28">
      <w:pPr>
        <w:tabs>
          <w:tab w:val="left" w:pos="567"/>
        </w:tabs>
        <w:ind w:right="-54"/>
        <w:jc w:val="both"/>
        <w:rPr>
          <w:rFonts w:cs="Arial"/>
          <w:b/>
          <w:bCs/>
          <w:szCs w:val="24"/>
        </w:rPr>
      </w:pPr>
    </w:p>
    <w:p w:rsidRPr="00086A7F" w:rsidR="006F3BC7" w:rsidP="00800C17" w:rsidRDefault="004549D4" w14:paraId="273CB806" w14:textId="75BE3716">
      <w:pPr>
        <w:tabs>
          <w:tab w:val="left" w:pos="567"/>
        </w:tabs>
        <w:ind w:right="-54"/>
        <w:jc w:val="both"/>
        <w:rPr>
          <w:rFonts w:cs="Arial"/>
          <w:b/>
          <w:bCs/>
          <w:szCs w:val="24"/>
        </w:rPr>
      </w:pPr>
      <w:r w:rsidRPr="00086A7F">
        <w:rPr>
          <w:rFonts w:cs="Arial"/>
          <w:b/>
          <w:bCs/>
          <w:szCs w:val="24"/>
        </w:rPr>
        <w:t xml:space="preserve"> </w:t>
      </w:r>
      <w:r w:rsidRPr="00086A7F" w:rsidR="006F3BC7">
        <w:rPr>
          <w:rFonts w:cs="Arial"/>
          <w:b/>
          <w:bCs/>
          <w:szCs w:val="24"/>
        </w:rPr>
        <w:t>Current Demand Levels: S</w:t>
      </w:r>
      <w:r w:rsidRPr="00086A7F" w:rsidR="00086A7F">
        <w:rPr>
          <w:rFonts w:cs="Arial"/>
          <w:b/>
          <w:bCs/>
          <w:szCs w:val="24"/>
        </w:rPr>
        <w:t xml:space="preserve">ubject </w:t>
      </w:r>
      <w:r w:rsidRPr="00086A7F" w:rsidR="006F3BC7">
        <w:rPr>
          <w:rFonts w:cs="Arial"/>
          <w:b/>
          <w:bCs/>
          <w:szCs w:val="24"/>
        </w:rPr>
        <w:t>A</w:t>
      </w:r>
      <w:r w:rsidRPr="00086A7F" w:rsidR="00086A7F">
        <w:rPr>
          <w:rFonts w:cs="Arial"/>
          <w:b/>
          <w:bCs/>
          <w:szCs w:val="24"/>
        </w:rPr>
        <w:t xml:space="preserve">ccess </w:t>
      </w:r>
      <w:r w:rsidRPr="00086A7F" w:rsidR="006F3BC7">
        <w:rPr>
          <w:rFonts w:cs="Arial"/>
          <w:b/>
          <w:bCs/>
          <w:szCs w:val="24"/>
        </w:rPr>
        <w:t>R</w:t>
      </w:r>
      <w:r w:rsidRPr="00086A7F" w:rsidR="00086A7F">
        <w:rPr>
          <w:rFonts w:cs="Arial"/>
          <w:b/>
          <w:bCs/>
          <w:szCs w:val="24"/>
        </w:rPr>
        <w:t>equest</w:t>
      </w:r>
    </w:p>
    <w:p w:rsidR="00CF5671" w:rsidP="00800C17" w:rsidRDefault="00CF5671" w14:paraId="6064D3C7" w14:textId="41D273B0">
      <w:pPr>
        <w:pStyle w:val="ListParagraph"/>
        <w:numPr>
          <w:ilvl w:val="0"/>
          <w:numId w:val="34"/>
        </w:numPr>
        <w:tabs>
          <w:tab w:val="left" w:pos="567"/>
        </w:tabs>
        <w:ind w:right="-54"/>
        <w:jc w:val="both"/>
        <w:rPr>
          <w:rFonts w:ascii="Arial" w:hAnsi="Arial" w:cs="Arial"/>
          <w:sz w:val="24"/>
          <w:szCs w:val="24"/>
        </w:rPr>
      </w:pPr>
      <w:r w:rsidRPr="00CF5671">
        <w:rPr>
          <w:rFonts w:ascii="Arial" w:hAnsi="Arial" w:cs="Arial"/>
          <w:sz w:val="24"/>
          <w:szCs w:val="24"/>
        </w:rPr>
        <w:t xml:space="preserve">We </w:t>
      </w:r>
      <w:r>
        <w:rPr>
          <w:rFonts w:ascii="Arial" w:hAnsi="Arial" w:cs="Arial"/>
          <w:sz w:val="24"/>
          <w:szCs w:val="24"/>
        </w:rPr>
        <w:t xml:space="preserve">continue to </w:t>
      </w:r>
      <w:r w:rsidR="0024431C">
        <w:rPr>
          <w:rFonts w:ascii="Arial" w:hAnsi="Arial" w:cs="Arial"/>
          <w:sz w:val="24"/>
          <w:szCs w:val="24"/>
        </w:rPr>
        <w:t xml:space="preserve">find </w:t>
      </w:r>
      <w:r w:rsidRPr="00CF5671" w:rsidR="0024431C">
        <w:rPr>
          <w:rFonts w:ascii="Arial" w:hAnsi="Arial" w:cs="Arial"/>
          <w:sz w:val="24"/>
          <w:szCs w:val="24"/>
        </w:rPr>
        <w:t>that</w:t>
      </w:r>
      <w:r w:rsidRPr="00CF5671">
        <w:rPr>
          <w:rFonts w:ascii="Arial" w:hAnsi="Arial" w:cs="Arial"/>
          <w:sz w:val="24"/>
          <w:szCs w:val="24"/>
        </w:rPr>
        <w:t xml:space="preserve"> requests are becoming more complex and voluminous in nature due to increased social awareness of GDPR and right of access provisions.</w:t>
      </w:r>
      <w:r w:rsidR="004F682C">
        <w:rPr>
          <w:rFonts w:ascii="Arial" w:hAnsi="Arial" w:cs="Arial"/>
          <w:sz w:val="24"/>
          <w:szCs w:val="24"/>
        </w:rPr>
        <w:t xml:space="preserve"> </w:t>
      </w:r>
    </w:p>
    <w:p w:rsidRPr="001C0F67" w:rsidR="001C0F67" w:rsidP="00800C17" w:rsidRDefault="001C0F67" w14:paraId="5E05771C" w14:textId="782243F2">
      <w:pPr>
        <w:pStyle w:val="ListParagraph"/>
        <w:numPr>
          <w:ilvl w:val="0"/>
          <w:numId w:val="34"/>
        </w:numPr>
        <w:tabs>
          <w:tab w:val="left" w:pos="567"/>
        </w:tabs>
        <w:ind w:right="-54"/>
        <w:jc w:val="both"/>
        <w:rPr>
          <w:rFonts w:ascii="Arial" w:hAnsi="Arial" w:cs="Arial"/>
          <w:sz w:val="24"/>
          <w:szCs w:val="24"/>
        </w:rPr>
      </w:pPr>
      <w:r>
        <w:rPr>
          <w:rFonts w:ascii="Arial" w:hAnsi="Arial" w:cs="Arial"/>
          <w:sz w:val="24"/>
          <w:szCs w:val="24"/>
        </w:rPr>
        <w:t xml:space="preserve">We are finding the </w:t>
      </w:r>
      <w:r w:rsidRPr="001C0F67">
        <w:rPr>
          <w:rFonts w:ascii="Arial" w:hAnsi="Arial" w:cs="Arial"/>
          <w:sz w:val="24"/>
          <w:szCs w:val="24"/>
        </w:rPr>
        <w:t xml:space="preserve">differences in compliance levels </w:t>
      </w:r>
      <w:r w:rsidR="00196312">
        <w:rPr>
          <w:rFonts w:ascii="Arial" w:hAnsi="Arial" w:cs="Arial"/>
          <w:sz w:val="24"/>
          <w:szCs w:val="24"/>
        </w:rPr>
        <w:t xml:space="preserve">across the year are mainly the result of </w:t>
      </w:r>
      <w:r w:rsidRPr="001C0F67">
        <w:rPr>
          <w:rFonts w:ascii="Arial" w:hAnsi="Arial" w:cs="Arial"/>
          <w:sz w:val="24"/>
          <w:szCs w:val="24"/>
        </w:rPr>
        <w:t>standard levels of absences relating to sickness, leave &amp; training</w:t>
      </w:r>
      <w:r w:rsidR="00196312">
        <w:rPr>
          <w:rFonts w:ascii="Arial" w:hAnsi="Arial" w:cs="Arial"/>
          <w:sz w:val="24"/>
          <w:szCs w:val="24"/>
        </w:rPr>
        <w:t>.</w:t>
      </w:r>
    </w:p>
    <w:p w:rsidR="00714AF4" w:rsidP="00800C17" w:rsidRDefault="006F3BC7" w14:paraId="3CD3541E" w14:textId="7D22E39E">
      <w:pPr>
        <w:pStyle w:val="ListParagraph"/>
        <w:numPr>
          <w:ilvl w:val="0"/>
          <w:numId w:val="34"/>
        </w:numPr>
        <w:tabs>
          <w:tab w:val="left" w:pos="567"/>
        </w:tabs>
        <w:ind w:right="-54"/>
        <w:jc w:val="both"/>
        <w:rPr>
          <w:rFonts w:ascii="Arial" w:hAnsi="Arial" w:cs="Arial"/>
          <w:sz w:val="24"/>
          <w:szCs w:val="24"/>
        </w:rPr>
      </w:pPr>
      <w:r w:rsidRPr="006F091A">
        <w:rPr>
          <w:rFonts w:ascii="Arial" w:hAnsi="Arial" w:cs="Arial"/>
          <w:sz w:val="24"/>
          <w:szCs w:val="24"/>
        </w:rPr>
        <w:t xml:space="preserve">We continue to work to reduce the backlog and </w:t>
      </w:r>
      <w:r w:rsidR="00802C43">
        <w:rPr>
          <w:rFonts w:ascii="Arial" w:hAnsi="Arial" w:cs="Arial"/>
          <w:sz w:val="24"/>
          <w:szCs w:val="24"/>
        </w:rPr>
        <w:t xml:space="preserve">to increase our compliance rating. </w:t>
      </w:r>
    </w:p>
    <w:p w:rsidR="006F3BC7" w:rsidP="00800C17" w:rsidRDefault="006F3BC7" w14:paraId="67AE0FC0" w14:textId="5320DC3E">
      <w:pPr>
        <w:tabs>
          <w:tab w:val="left" w:pos="567"/>
        </w:tabs>
        <w:ind w:right="-54"/>
        <w:jc w:val="both"/>
        <w:rPr>
          <w:rFonts w:cs="Arial"/>
          <w:szCs w:val="24"/>
        </w:rPr>
      </w:pPr>
    </w:p>
    <w:p w:rsidRPr="00EB7B10" w:rsidR="00B84350" w:rsidP="00800C17" w:rsidRDefault="001C72D6" w14:paraId="1B9F3788" w14:textId="77777777">
      <w:pPr>
        <w:tabs>
          <w:tab w:val="left" w:pos="567"/>
        </w:tabs>
        <w:ind w:right="-54"/>
        <w:jc w:val="both"/>
        <w:rPr>
          <w:rFonts w:cs="Arial"/>
          <w:b/>
          <w:szCs w:val="24"/>
        </w:rPr>
      </w:pPr>
      <w:r w:rsidRPr="001C72D6">
        <w:rPr>
          <w:rFonts w:cs="Arial"/>
          <w:b/>
          <w:szCs w:val="24"/>
        </w:rPr>
        <w:t>4.6</w:t>
      </w:r>
      <w:r w:rsidR="0024431C">
        <w:rPr>
          <w:rFonts w:cs="Arial"/>
          <w:szCs w:val="24"/>
        </w:rPr>
        <w:t xml:space="preserve"> </w:t>
      </w:r>
      <w:r w:rsidRPr="00B84350" w:rsidR="00B84350">
        <w:rPr>
          <w:rFonts w:cs="Arial"/>
          <w:b/>
          <w:szCs w:val="24"/>
        </w:rPr>
        <w:t>Table 4 -</w:t>
      </w:r>
      <w:r w:rsidR="00B84350">
        <w:rPr>
          <w:rFonts w:cs="Arial"/>
          <w:szCs w:val="24"/>
        </w:rPr>
        <w:t xml:space="preserve"> </w:t>
      </w:r>
      <w:r w:rsidR="0024431C">
        <w:rPr>
          <w:rFonts w:cs="Arial"/>
          <w:b/>
          <w:szCs w:val="24"/>
        </w:rPr>
        <w:t>Other types of Information Requests</w:t>
      </w:r>
    </w:p>
    <w:tbl>
      <w:tblPr>
        <w:tblStyle w:val="TableGrid"/>
        <w:tblW w:w="10161" w:type="dxa"/>
        <w:tblInd w:w="-5" w:type="dxa"/>
        <w:tblLook w:val="04A0" w:firstRow="1" w:lastRow="0" w:firstColumn="1" w:lastColumn="0" w:noHBand="0" w:noVBand="1"/>
      </w:tblPr>
      <w:tblGrid>
        <w:gridCol w:w="2835"/>
        <w:gridCol w:w="5200"/>
        <w:gridCol w:w="2126"/>
      </w:tblGrid>
      <w:tr w:rsidR="00B84350" w:rsidTr="007F50FE" w14:paraId="37CBFDE4" w14:textId="77777777">
        <w:tc>
          <w:tcPr>
            <w:tcW w:w="2835" w:type="dxa"/>
          </w:tcPr>
          <w:p w:rsidRPr="00CF3BA7" w:rsidR="00B84350" w:rsidP="00800C17" w:rsidRDefault="00B84350" w14:paraId="46221CC5" w14:textId="77777777">
            <w:pPr>
              <w:pStyle w:val="NoSpacing"/>
              <w:tabs>
                <w:tab w:val="left" w:pos="567"/>
              </w:tabs>
              <w:ind w:right="-54"/>
              <w:jc w:val="both"/>
              <w:rPr>
                <w:rFonts w:ascii="Arial" w:hAnsi="Arial" w:cs="Arial"/>
              </w:rPr>
            </w:pPr>
            <w:r w:rsidRPr="00CF3BA7">
              <w:rPr>
                <w:rFonts w:ascii="Arial" w:hAnsi="Arial" w:cs="Arial"/>
              </w:rPr>
              <w:t>Category</w:t>
            </w:r>
          </w:p>
        </w:tc>
        <w:tc>
          <w:tcPr>
            <w:tcW w:w="5200" w:type="dxa"/>
          </w:tcPr>
          <w:p w:rsidRPr="00CF3BA7" w:rsidR="00B84350" w:rsidP="00800C17" w:rsidRDefault="00B84350" w14:paraId="25B68C88" w14:textId="77777777">
            <w:pPr>
              <w:pStyle w:val="NoSpacing"/>
              <w:tabs>
                <w:tab w:val="left" w:pos="567"/>
              </w:tabs>
              <w:ind w:right="-54"/>
              <w:jc w:val="both"/>
              <w:rPr>
                <w:rFonts w:ascii="Arial" w:hAnsi="Arial" w:cs="Arial"/>
              </w:rPr>
            </w:pPr>
            <w:r w:rsidRPr="00CF3BA7">
              <w:rPr>
                <w:rFonts w:ascii="Arial" w:hAnsi="Arial" w:cs="Arial"/>
              </w:rPr>
              <w:t>Description</w:t>
            </w:r>
          </w:p>
        </w:tc>
        <w:tc>
          <w:tcPr>
            <w:tcW w:w="2126" w:type="dxa"/>
          </w:tcPr>
          <w:p w:rsidRPr="00CF3BA7" w:rsidR="00B84350" w:rsidP="00800C17" w:rsidRDefault="00B84350" w14:paraId="673A0483" w14:textId="77777777">
            <w:pPr>
              <w:pStyle w:val="NoSpacing"/>
              <w:tabs>
                <w:tab w:val="left" w:pos="567"/>
              </w:tabs>
              <w:ind w:right="-54"/>
              <w:jc w:val="both"/>
              <w:rPr>
                <w:rFonts w:ascii="Arial" w:hAnsi="Arial" w:cs="Arial"/>
              </w:rPr>
            </w:pPr>
            <w:r w:rsidRPr="00CF3BA7">
              <w:rPr>
                <w:rFonts w:ascii="Arial" w:hAnsi="Arial" w:cs="Arial"/>
              </w:rPr>
              <w:t>Time scale</w:t>
            </w:r>
          </w:p>
        </w:tc>
      </w:tr>
      <w:tr w:rsidR="00B84350" w:rsidTr="007F50FE" w14:paraId="2F2A67B8" w14:textId="77777777">
        <w:tc>
          <w:tcPr>
            <w:tcW w:w="2835" w:type="dxa"/>
          </w:tcPr>
          <w:p w:rsidRPr="00CF3BA7" w:rsidR="00B84350" w:rsidP="00800C17" w:rsidRDefault="00B84350" w14:paraId="27D7E7AD" w14:textId="77777777">
            <w:pPr>
              <w:pStyle w:val="NoSpacing"/>
              <w:tabs>
                <w:tab w:val="left" w:pos="567"/>
              </w:tabs>
              <w:ind w:right="-54"/>
              <w:jc w:val="both"/>
              <w:rPr>
                <w:rFonts w:ascii="Arial" w:hAnsi="Arial" w:cs="Arial"/>
              </w:rPr>
            </w:pPr>
            <w:r w:rsidRPr="00CF3BA7">
              <w:rPr>
                <w:rFonts w:ascii="Arial" w:hAnsi="Arial" w:cs="Arial"/>
              </w:rPr>
              <w:t>Court Orders</w:t>
            </w:r>
            <w:r w:rsidRPr="00CF3BA7" w:rsidR="001C72D6">
              <w:rPr>
                <w:rFonts w:ascii="Arial" w:hAnsi="Arial" w:cs="Arial"/>
              </w:rPr>
              <w:t>*</w:t>
            </w:r>
          </w:p>
        </w:tc>
        <w:tc>
          <w:tcPr>
            <w:tcW w:w="5200" w:type="dxa"/>
          </w:tcPr>
          <w:p w:rsidRPr="00CF3BA7" w:rsidR="00B84350" w:rsidP="00800C17" w:rsidRDefault="00EA7B15" w14:paraId="20DF9524" w14:textId="77777777">
            <w:pPr>
              <w:pStyle w:val="NoSpacing"/>
              <w:tabs>
                <w:tab w:val="left" w:pos="567"/>
              </w:tabs>
              <w:ind w:right="-54"/>
              <w:jc w:val="both"/>
              <w:rPr>
                <w:rFonts w:ascii="Arial" w:hAnsi="Arial" w:cs="Arial"/>
              </w:rPr>
            </w:pPr>
            <w:r w:rsidRPr="00CF3BA7">
              <w:rPr>
                <w:rFonts w:ascii="Arial" w:hAnsi="Arial" w:cs="Arial"/>
              </w:rPr>
              <w:t xml:space="preserve">Court orders which can be received from any court in the UK and Ireland for Child Care, Private and Family Proceedings.  </w:t>
            </w:r>
          </w:p>
        </w:tc>
        <w:tc>
          <w:tcPr>
            <w:tcW w:w="2126" w:type="dxa"/>
          </w:tcPr>
          <w:p w:rsidRPr="00CF3BA7" w:rsidR="00B84350" w:rsidP="00800C17" w:rsidRDefault="00EA7B15" w14:paraId="3C694FE2" w14:textId="77777777">
            <w:pPr>
              <w:pStyle w:val="NoSpacing"/>
              <w:tabs>
                <w:tab w:val="left" w:pos="567"/>
              </w:tabs>
              <w:ind w:right="-54"/>
              <w:jc w:val="both"/>
              <w:rPr>
                <w:rFonts w:ascii="Arial" w:hAnsi="Arial" w:cs="Arial"/>
              </w:rPr>
            </w:pPr>
            <w:r w:rsidRPr="00CF3BA7">
              <w:rPr>
                <w:rFonts w:ascii="Arial" w:hAnsi="Arial" w:cs="Arial"/>
              </w:rPr>
              <w:t xml:space="preserve">Can be required immediately </w:t>
            </w:r>
            <w:r w:rsidRPr="00CF3BA7" w:rsidR="003A4950">
              <w:rPr>
                <w:rFonts w:ascii="Arial" w:hAnsi="Arial" w:cs="Arial"/>
              </w:rPr>
              <w:t>or within day</w:t>
            </w:r>
            <w:r w:rsidRPr="00CF3BA7">
              <w:rPr>
                <w:rFonts w:ascii="Arial" w:hAnsi="Arial" w:cs="Arial"/>
              </w:rPr>
              <w:t xml:space="preserve">s </w:t>
            </w:r>
            <w:r w:rsidRPr="00CF3BA7" w:rsidR="003A4950">
              <w:rPr>
                <w:rFonts w:ascii="Arial" w:hAnsi="Arial" w:cs="Arial"/>
              </w:rPr>
              <w:t>due</w:t>
            </w:r>
            <w:r w:rsidRPr="00CF3BA7">
              <w:rPr>
                <w:rFonts w:ascii="Arial" w:hAnsi="Arial" w:cs="Arial"/>
              </w:rPr>
              <w:t xml:space="preserve"> to the threat, risk &amp; harm of the case</w:t>
            </w:r>
          </w:p>
        </w:tc>
      </w:tr>
      <w:tr w:rsidR="003A4950" w:rsidTr="007F50FE" w14:paraId="65CAB524" w14:textId="77777777">
        <w:tc>
          <w:tcPr>
            <w:tcW w:w="2835" w:type="dxa"/>
          </w:tcPr>
          <w:p w:rsidRPr="00CF3BA7" w:rsidR="004235E1" w:rsidP="00800C17" w:rsidRDefault="004235E1" w14:paraId="08D9D6CA" w14:textId="77777777">
            <w:pPr>
              <w:pStyle w:val="NoSpacing"/>
              <w:tabs>
                <w:tab w:val="left" w:pos="567"/>
              </w:tabs>
              <w:ind w:right="-54"/>
              <w:jc w:val="both"/>
              <w:rPr>
                <w:rFonts w:ascii="Arial" w:hAnsi="Arial" w:cs="Arial"/>
              </w:rPr>
            </w:pPr>
            <w:proofErr w:type="spellStart"/>
            <w:r w:rsidRPr="00CF3BA7">
              <w:rPr>
                <w:rFonts w:ascii="Arial" w:hAnsi="Arial" w:cs="Arial"/>
              </w:rPr>
              <w:t>CCrims</w:t>
            </w:r>
            <w:proofErr w:type="spellEnd"/>
            <w:r w:rsidRPr="00CF3BA7">
              <w:rPr>
                <w:rFonts w:ascii="Arial" w:hAnsi="Arial" w:cs="Arial"/>
              </w:rPr>
              <w:t xml:space="preserve"> Checks &amp; </w:t>
            </w:r>
          </w:p>
          <w:p w:rsidRPr="00CF3BA7" w:rsidR="003A4950" w:rsidP="00800C17" w:rsidRDefault="004235E1" w14:paraId="2811A7CD" w14:textId="767FEE63">
            <w:pPr>
              <w:pStyle w:val="NoSpacing"/>
              <w:tabs>
                <w:tab w:val="left" w:pos="567"/>
              </w:tabs>
              <w:ind w:right="-54"/>
              <w:jc w:val="both"/>
              <w:rPr>
                <w:rFonts w:ascii="Arial" w:hAnsi="Arial" w:cs="Arial"/>
              </w:rPr>
            </w:pPr>
            <w:r w:rsidRPr="00CF3BA7">
              <w:rPr>
                <w:rFonts w:ascii="Arial" w:hAnsi="Arial" w:cs="Arial"/>
              </w:rPr>
              <w:t xml:space="preserve">Annex D’s </w:t>
            </w:r>
          </w:p>
        </w:tc>
        <w:tc>
          <w:tcPr>
            <w:tcW w:w="5200" w:type="dxa"/>
          </w:tcPr>
          <w:p w:rsidRPr="00CF3BA7" w:rsidR="003A4950" w:rsidP="00800C17" w:rsidRDefault="00A54B1C" w14:paraId="485F2197" w14:textId="77777777">
            <w:pPr>
              <w:pStyle w:val="NoSpacing"/>
              <w:tabs>
                <w:tab w:val="left" w:pos="567"/>
              </w:tabs>
              <w:ind w:right="-54"/>
              <w:jc w:val="both"/>
              <w:rPr>
                <w:rFonts w:ascii="Arial" w:hAnsi="Arial" w:cs="Arial"/>
              </w:rPr>
            </w:pPr>
            <w:r w:rsidRPr="00CF3BA7">
              <w:rPr>
                <w:rFonts w:ascii="Arial" w:hAnsi="Arial" w:cs="Arial"/>
              </w:rPr>
              <w:t xml:space="preserve">2013 Protocol and Good Practice Model - Disclosure of </w:t>
            </w:r>
            <w:r w:rsidRPr="00CF3BA7" w:rsidR="00EC482C">
              <w:rPr>
                <w:rFonts w:ascii="Arial" w:hAnsi="Arial" w:cs="Arial"/>
              </w:rPr>
              <w:t xml:space="preserve">information to Local Authorities on closed </w:t>
            </w:r>
            <w:r w:rsidRPr="00CF3BA7">
              <w:rPr>
                <w:rFonts w:ascii="Arial" w:hAnsi="Arial" w:cs="Arial"/>
              </w:rPr>
              <w:t xml:space="preserve">cases of alleged child abuse and linked criminal and care directions hearings into the Family Justice System.  </w:t>
            </w:r>
          </w:p>
        </w:tc>
        <w:tc>
          <w:tcPr>
            <w:tcW w:w="2126" w:type="dxa"/>
          </w:tcPr>
          <w:p w:rsidRPr="00CF3BA7" w:rsidR="003A4950" w:rsidP="00800C17" w:rsidRDefault="00EC482C" w14:paraId="04986797" w14:textId="77777777">
            <w:pPr>
              <w:pStyle w:val="NoSpacing"/>
              <w:tabs>
                <w:tab w:val="left" w:pos="567"/>
              </w:tabs>
              <w:ind w:right="-54"/>
              <w:jc w:val="both"/>
              <w:rPr>
                <w:rFonts w:ascii="Arial" w:hAnsi="Arial" w:cs="Arial"/>
              </w:rPr>
            </w:pPr>
            <w:r w:rsidRPr="00CF3BA7">
              <w:rPr>
                <w:rFonts w:ascii="Arial" w:hAnsi="Arial" w:cs="Arial"/>
              </w:rPr>
              <w:t>Can be required immediately or within days due to the threat, risk &amp; harm of the case</w:t>
            </w:r>
          </w:p>
        </w:tc>
      </w:tr>
      <w:tr w:rsidR="00B84350" w:rsidTr="007F50FE" w14:paraId="55834BE8" w14:textId="77777777">
        <w:tc>
          <w:tcPr>
            <w:tcW w:w="2835" w:type="dxa"/>
          </w:tcPr>
          <w:p w:rsidRPr="00CF3BA7" w:rsidR="00B84350" w:rsidP="00800C17" w:rsidRDefault="00B84350" w14:paraId="2C940324" w14:textId="77777777">
            <w:pPr>
              <w:pStyle w:val="NoSpacing"/>
              <w:tabs>
                <w:tab w:val="left" w:pos="567"/>
              </w:tabs>
              <w:ind w:right="-54"/>
              <w:jc w:val="both"/>
              <w:rPr>
                <w:rFonts w:ascii="Arial" w:hAnsi="Arial" w:cs="Arial"/>
              </w:rPr>
            </w:pPr>
            <w:r w:rsidRPr="00CF3BA7">
              <w:rPr>
                <w:rFonts w:ascii="Arial" w:hAnsi="Arial" w:cs="Arial"/>
              </w:rPr>
              <w:t>Insurance</w:t>
            </w:r>
          </w:p>
        </w:tc>
        <w:tc>
          <w:tcPr>
            <w:tcW w:w="5200" w:type="dxa"/>
          </w:tcPr>
          <w:p w:rsidRPr="00CF3BA7" w:rsidR="00B84350" w:rsidP="00800C17" w:rsidRDefault="00B84350" w14:paraId="4549467B" w14:textId="77777777">
            <w:pPr>
              <w:pStyle w:val="NoSpacing"/>
              <w:tabs>
                <w:tab w:val="left" w:pos="567"/>
              </w:tabs>
              <w:ind w:right="-54"/>
              <w:jc w:val="both"/>
              <w:rPr>
                <w:rFonts w:ascii="Arial" w:hAnsi="Arial" w:cs="Arial"/>
              </w:rPr>
            </w:pPr>
            <w:r w:rsidRPr="00CF3BA7">
              <w:rPr>
                <w:rFonts w:ascii="Arial" w:hAnsi="Arial" w:cs="Arial"/>
              </w:rPr>
              <w:t>Validation of details in relation to crimes for insurer to settle claim</w:t>
            </w:r>
          </w:p>
        </w:tc>
        <w:tc>
          <w:tcPr>
            <w:tcW w:w="2126" w:type="dxa"/>
          </w:tcPr>
          <w:p w:rsidRPr="00CF3BA7" w:rsidR="00B84350" w:rsidP="00800C17" w:rsidRDefault="00B84350" w14:paraId="2721C4B0" w14:textId="77777777">
            <w:pPr>
              <w:pStyle w:val="NoSpacing"/>
              <w:tabs>
                <w:tab w:val="left" w:pos="567"/>
              </w:tabs>
              <w:ind w:right="-54"/>
              <w:jc w:val="both"/>
              <w:rPr>
                <w:rFonts w:ascii="Arial" w:hAnsi="Arial" w:cs="Arial"/>
              </w:rPr>
            </w:pPr>
            <w:r w:rsidRPr="00CF3BA7">
              <w:rPr>
                <w:rFonts w:ascii="Arial" w:hAnsi="Arial" w:cs="Arial"/>
              </w:rPr>
              <w:t>30 working days</w:t>
            </w:r>
          </w:p>
        </w:tc>
      </w:tr>
      <w:tr w:rsidR="00B84350" w:rsidTr="007F50FE" w14:paraId="622FBC60" w14:textId="77777777">
        <w:tc>
          <w:tcPr>
            <w:tcW w:w="2835" w:type="dxa"/>
          </w:tcPr>
          <w:p w:rsidRPr="00CF3BA7" w:rsidR="00B84350" w:rsidP="00800C17" w:rsidRDefault="00B84350" w14:paraId="2903F76C" w14:textId="77777777">
            <w:pPr>
              <w:pStyle w:val="NoSpacing"/>
              <w:tabs>
                <w:tab w:val="left" w:pos="567"/>
              </w:tabs>
              <w:ind w:right="-54"/>
              <w:jc w:val="both"/>
              <w:rPr>
                <w:rFonts w:ascii="Arial" w:hAnsi="Arial" w:cs="Arial"/>
              </w:rPr>
            </w:pPr>
            <w:r w:rsidRPr="00CF3BA7">
              <w:rPr>
                <w:rFonts w:ascii="Arial" w:hAnsi="Arial" w:cs="Arial"/>
              </w:rPr>
              <w:t>Home Office</w:t>
            </w:r>
          </w:p>
        </w:tc>
        <w:tc>
          <w:tcPr>
            <w:tcW w:w="5200" w:type="dxa"/>
          </w:tcPr>
          <w:p w:rsidRPr="00CF3BA7" w:rsidR="00B84350" w:rsidP="00800C17" w:rsidRDefault="00B84350" w14:paraId="1837B28B" w14:textId="77777777">
            <w:pPr>
              <w:pStyle w:val="NoSpacing"/>
              <w:tabs>
                <w:tab w:val="left" w:pos="567"/>
              </w:tabs>
              <w:ind w:right="-54"/>
              <w:jc w:val="both"/>
              <w:rPr>
                <w:rFonts w:ascii="Arial" w:hAnsi="Arial" w:cs="Arial"/>
              </w:rPr>
            </w:pPr>
            <w:r w:rsidRPr="00CF3BA7">
              <w:rPr>
                <w:rFonts w:ascii="Arial" w:hAnsi="Arial" w:cs="Arial"/>
              </w:rPr>
              <w:t>UK Border Agency and Immigration requiring confirmation and details of Police involvement for those wishing to stay in the country</w:t>
            </w:r>
          </w:p>
        </w:tc>
        <w:tc>
          <w:tcPr>
            <w:tcW w:w="2126" w:type="dxa"/>
          </w:tcPr>
          <w:p w:rsidRPr="00CF3BA7" w:rsidR="00B84350" w:rsidP="00800C17" w:rsidRDefault="00B84350" w14:paraId="2BC93CD7" w14:textId="77777777">
            <w:pPr>
              <w:pStyle w:val="NoSpacing"/>
              <w:tabs>
                <w:tab w:val="left" w:pos="567"/>
              </w:tabs>
              <w:ind w:right="-54"/>
              <w:jc w:val="both"/>
              <w:rPr>
                <w:rFonts w:ascii="Arial" w:hAnsi="Arial" w:cs="Arial"/>
              </w:rPr>
            </w:pPr>
            <w:r w:rsidRPr="00CF3BA7">
              <w:rPr>
                <w:rFonts w:ascii="Arial" w:hAnsi="Arial" w:cs="Arial"/>
              </w:rPr>
              <w:t>40 calendar days</w:t>
            </w:r>
          </w:p>
        </w:tc>
      </w:tr>
      <w:tr w:rsidR="00B84350" w:rsidTr="007F50FE" w14:paraId="597BF9F5" w14:textId="77777777">
        <w:tc>
          <w:tcPr>
            <w:tcW w:w="2835" w:type="dxa"/>
          </w:tcPr>
          <w:p w:rsidRPr="00CF3BA7" w:rsidR="00B84350" w:rsidP="00800C17" w:rsidRDefault="00B84350" w14:paraId="5C5A9886" w14:textId="77777777">
            <w:pPr>
              <w:pStyle w:val="NoSpacing"/>
              <w:tabs>
                <w:tab w:val="left" w:pos="567"/>
              </w:tabs>
              <w:ind w:right="-54"/>
              <w:jc w:val="both"/>
              <w:rPr>
                <w:rFonts w:ascii="Arial" w:hAnsi="Arial" w:cs="Arial"/>
              </w:rPr>
            </w:pPr>
            <w:r w:rsidRPr="00CF3BA7">
              <w:rPr>
                <w:rFonts w:ascii="Arial" w:hAnsi="Arial" w:cs="Arial"/>
              </w:rPr>
              <w:t>Housing Confirmation</w:t>
            </w:r>
          </w:p>
        </w:tc>
        <w:tc>
          <w:tcPr>
            <w:tcW w:w="5200" w:type="dxa"/>
          </w:tcPr>
          <w:p w:rsidRPr="00CF3BA7" w:rsidR="00B84350" w:rsidP="00800C17" w:rsidRDefault="00B84350" w14:paraId="1A9A2ADE" w14:textId="77777777">
            <w:pPr>
              <w:pStyle w:val="NoSpacing"/>
              <w:tabs>
                <w:tab w:val="left" w:pos="567"/>
              </w:tabs>
              <w:ind w:right="-54"/>
              <w:jc w:val="both"/>
              <w:rPr>
                <w:rFonts w:ascii="Arial" w:hAnsi="Arial" w:cs="Arial"/>
              </w:rPr>
            </w:pPr>
            <w:r w:rsidRPr="00CF3BA7">
              <w:rPr>
                <w:rFonts w:ascii="Arial" w:hAnsi="Arial" w:cs="Arial"/>
              </w:rPr>
              <w:t xml:space="preserve">Local and Social housing requiring confirmation of the reason given by the person who has presented to them as homeless. </w:t>
            </w:r>
          </w:p>
        </w:tc>
        <w:tc>
          <w:tcPr>
            <w:tcW w:w="2126" w:type="dxa"/>
          </w:tcPr>
          <w:p w:rsidRPr="00CF3BA7" w:rsidR="00B84350" w:rsidP="00800C17" w:rsidRDefault="00B84350" w14:paraId="276B467D" w14:textId="77777777">
            <w:pPr>
              <w:pStyle w:val="NoSpacing"/>
              <w:tabs>
                <w:tab w:val="left" w:pos="567"/>
              </w:tabs>
              <w:ind w:right="-54"/>
              <w:jc w:val="both"/>
              <w:rPr>
                <w:rFonts w:ascii="Arial" w:hAnsi="Arial" w:cs="Arial"/>
              </w:rPr>
            </w:pPr>
            <w:r w:rsidRPr="00CF3BA7">
              <w:rPr>
                <w:rFonts w:ascii="Arial" w:hAnsi="Arial" w:cs="Arial"/>
              </w:rPr>
              <w:t>10 working days</w:t>
            </w:r>
          </w:p>
        </w:tc>
      </w:tr>
      <w:tr w:rsidR="00B84350" w:rsidTr="007F50FE" w14:paraId="65F96431" w14:textId="77777777">
        <w:tc>
          <w:tcPr>
            <w:tcW w:w="2835" w:type="dxa"/>
          </w:tcPr>
          <w:p w:rsidRPr="00CF3BA7" w:rsidR="00B84350" w:rsidP="00800C17" w:rsidRDefault="00B84350" w14:paraId="04310FF6" w14:textId="77777777">
            <w:pPr>
              <w:pStyle w:val="NoSpacing"/>
              <w:tabs>
                <w:tab w:val="left" w:pos="567"/>
              </w:tabs>
              <w:ind w:right="-54"/>
              <w:jc w:val="both"/>
              <w:rPr>
                <w:rFonts w:ascii="Arial" w:hAnsi="Arial" w:cs="Arial"/>
              </w:rPr>
            </w:pPr>
            <w:r w:rsidRPr="00CF3BA7">
              <w:rPr>
                <w:rFonts w:ascii="Arial" w:hAnsi="Arial" w:cs="Arial"/>
              </w:rPr>
              <w:t>Housing General</w:t>
            </w:r>
          </w:p>
        </w:tc>
        <w:tc>
          <w:tcPr>
            <w:tcW w:w="5200" w:type="dxa"/>
          </w:tcPr>
          <w:p w:rsidRPr="00CF3BA7" w:rsidR="00B84350" w:rsidP="00800C17" w:rsidRDefault="00B84350" w14:paraId="693E0FAE" w14:textId="77777777">
            <w:pPr>
              <w:pStyle w:val="NoSpacing"/>
              <w:tabs>
                <w:tab w:val="left" w:pos="567"/>
              </w:tabs>
              <w:ind w:right="-54"/>
              <w:jc w:val="both"/>
              <w:rPr>
                <w:rFonts w:ascii="Arial" w:hAnsi="Arial" w:cs="Arial"/>
              </w:rPr>
            </w:pPr>
            <w:r w:rsidRPr="00CF3BA7">
              <w:rPr>
                <w:rFonts w:ascii="Arial" w:hAnsi="Arial" w:cs="Arial"/>
              </w:rPr>
              <w:t>As above but require more specific detail</w:t>
            </w:r>
          </w:p>
        </w:tc>
        <w:tc>
          <w:tcPr>
            <w:tcW w:w="2126" w:type="dxa"/>
          </w:tcPr>
          <w:p w:rsidRPr="00CF3BA7" w:rsidR="00B84350" w:rsidP="00800C17" w:rsidRDefault="00B84350" w14:paraId="0CEC72B6" w14:textId="77777777">
            <w:pPr>
              <w:pStyle w:val="NoSpacing"/>
              <w:tabs>
                <w:tab w:val="left" w:pos="567"/>
              </w:tabs>
              <w:ind w:right="-54"/>
              <w:jc w:val="both"/>
              <w:rPr>
                <w:rFonts w:ascii="Arial" w:hAnsi="Arial" w:cs="Arial"/>
              </w:rPr>
            </w:pPr>
            <w:r w:rsidRPr="00CF3BA7">
              <w:rPr>
                <w:rFonts w:ascii="Arial" w:hAnsi="Arial" w:cs="Arial"/>
              </w:rPr>
              <w:t>40 calendar days</w:t>
            </w:r>
          </w:p>
        </w:tc>
      </w:tr>
      <w:tr w:rsidR="00B84350" w:rsidTr="007F50FE" w14:paraId="6C0780BE" w14:textId="77777777">
        <w:tc>
          <w:tcPr>
            <w:tcW w:w="2835" w:type="dxa"/>
          </w:tcPr>
          <w:p w:rsidRPr="00CF3BA7" w:rsidR="00B84350" w:rsidP="00800C17" w:rsidRDefault="00B84350" w14:paraId="2B858EDC" w14:textId="77777777">
            <w:pPr>
              <w:pStyle w:val="NoSpacing"/>
              <w:tabs>
                <w:tab w:val="left" w:pos="567"/>
              </w:tabs>
              <w:ind w:right="-54"/>
              <w:jc w:val="both"/>
              <w:rPr>
                <w:rFonts w:ascii="Arial" w:hAnsi="Arial" w:cs="Arial"/>
              </w:rPr>
            </w:pPr>
            <w:r w:rsidRPr="00CF3BA7">
              <w:rPr>
                <w:rFonts w:ascii="Arial" w:hAnsi="Arial" w:cs="Arial"/>
              </w:rPr>
              <w:lastRenderedPageBreak/>
              <w:t>Insurance Appendix E</w:t>
            </w:r>
          </w:p>
        </w:tc>
        <w:tc>
          <w:tcPr>
            <w:tcW w:w="5200" w:type="dxa"/>
          </w:tcPr>
          <w:p w:rsidRPr="00CF3BA7" w:rsidR="00B84350" w:rsidP="00800C17" w:rsidRDefault="00B84350" w14:paraId="3DC64658" w14:textId="77777777">
            <w:pPr>
              <w:pStyle w:val="NoSpacing"/>
              <w:tabs>
                <w:tab w:val="left" w:pos="567"/>
              </w:tabs>
              <w:ind w:right="-54"/>
              <w:jc w:val="both"/>
              <w:rPr>
                <w:rFonts w:ascii="Arial" w:hAnsi="Arial" w:cs="Arial"/>
              </w:rPr>
            </w:pPr>
            <w:r w:rsidRPr="00CF3BA7">
              <w:rPr>
                <w:rFonts w:ascii="Arial" w:hAnsi="Arial" w:cs="Arial"/>
              </w:rPr>
              <w:t>Insurance companies requiring information in relation to a claim that they believe is fraudulent</w:t>
            </w:r>
          </w:p>
        </w:tc>
        <w:tc>
          <w:tcPr>
            <w:tcW w:w="2126" w:type="dxa"/>
          </w:tcPr>
          <w:p w:rsidRPr="00CF3BA7" w:rsidR="00B84350" w:rsidP="00800C17" w:rsidRDefault="00B84350" w14:paraId="7A856F30" w14:textId="77777777">
            <w:pPr>
              <w:pStyle w:val="NoSpacing"/>
              <w:tabs>
                <w:tab w:val="left" w:pos="567"/>
              </w:tabs>
              <w:ind w:right="-54"/>
              <w:jc w:val="both"/>
              <w:rPr>
                <w:rFonts w:ascii="Arial" w:hAnsi="Arial" w:cs="Arial"/>
              </w:rPr>
            </w:pPr>
            <w:r w:rsidRPr="00CF3BA7">
              <w:rPr>
                <w:rFonts w:ascii="Arial" w:hAnsi="Arial" w:cs="Arial"/>
              </w:rPr>
              <w:t>40 calendar days</w:t>
            </w:r>
          </w:p>
        </w:tc>
      </w:tr>
      <w:tr w:rsidR="00B84350" w:rsidTr="007F50FE" w14:paraId="383F6F71" w14:textId="77777777">
        <w:tc>
          <w:tcPr>
            <w:tcW w:w="2835" w:type="dxa"/>
          </w:tcPr>
          <w:p w:rsidRPr="00CF3BA7" w:rsidR="00B84350" w:rsidP="00800C17" w:rsidRDefault="00B84350" w14:paraId="76E2E00C" w14:textId="77777777">
            <w:pPr>
              <w:pStyle w:val="NoSpacing"/>
              <w:tabs>
                <w:tab w:val="left" w:pos="567"/>
              </w:tabs>
              <w:ind w:right="-54"/>
              <w:jc w:val="both"/>
              <w:rPr>
                <w:rFonts w:ascii="Arial" w:hAnsi="Arial" w:cs="Arial"/>
              </w:rPr>
            </w:pPr>
            <w:r w:rsidRPr="00CF3BA7">
              <w:rPr>
                <w:rFonts w:ascii="Arial" w:hAnsi="Arial" w:cs="Arial"/>
              </w:rPr>
              <w:t>NHS</w:t>
            </w:r>
          </w:p>
        </w:tc>
        <w:tc>
          <w:tcPr>
            <w:tcW w:w="5200" w:type="dxa"/>
          </w:tcPr>
          <w:p w:rsidRPr="00CF3BA7" w:rsidR="00B84350" w:rsidP="00800C17" w:rsidRDefault="00B84350" w14:paraId="78BA2344" w14:textId="77777777">
            <w:pPr>
              <w:pStyle w:val="NoSpacing"/>
              <w:tabs>
                <w:tab w:val="left" w:pos="567"/>
              </w:tabs>
              <w:ind w:right="-54"/>
              <w:jc w:val="both"/>
              <w:rPr>
                <w:rFonts w:ascii="Arial" w:hAnsi="Arial" w:cs="Arial"/>
              </w:rPr>
            </w:pPr>
            <w:r w:rsidRPr="00CF3BA7">
              <w:rPr>
                <w:rFonts w:ascii="Arial" w:hAnsi="Arial" w:cs="Arial"/>
              </w:rPr>
              <w:t>General Medical Council, Nursing Midwifery Council require details of a registered practitioner who has been involved with the police to consider their fitness to practice</w:t>
            </w:r>
          </w:p>
        </w:tc>
        <w:tc>
          <w:tcPr>
            <w:tcW w:w="2126" w:type="dxa"/>
          </w:tcPr>
          <w:p w:rsidRPr="00CF3BA7" w:rsidR="00B84350" w:rsidP="00800C17" w:rsidRDefault="00B84350" w14:paraId="17E7F219" w14:textId="77777777">
            <w:pPr>
              <w:pStyle w:val="NoSpacing"/>
              <w:tabs>
                <w:tab w:val="left" w:pos="567"/>
              </w:tabs>
              <w:ind w:right="-54"/>
              <w:jc w:val="both"/>
              <w:rPr>
                <w:rFonts w:ascii="Arial" w:hAnsi="Arial" w:cs="Arial"/>
              </w:rPr>
            </w:pPr>
            <w:r w:rsidRPr="00CF3BA7">
              <w:rPr>
                <w:rFonts w:ascii="Arial" w:hAnsi="Arial" w:cs="Arial"/>
              </w:rPr>
              <w:t>20 working days</w:t>
            </w:r>
          </w:p>
        </w:tc>
      </w:tr>
      <w:tr w:rsidR="00B84350" w:rsidTr="007F50FE" w14:paraId="5203494D" w14:textId="77777777">
        <w:tc>
          <w:tcPr>
            <w:tcW w:w="2835" w:type="dxa"/>
          </w:tcPr>
          <w:p w:rsidRPr="00CF3BA7" w:rsidR="00B84350" w:rsidP="00800C17" w:rsidRDefault="00B84350" w14:paraId="74A30B07" w14:textId="77777777">
            <w:pPr>
              <w:pStyle w:val="NoSpacing"/>
              <w:tabs>
                <w:tab w:val="left" w:pos="567"/>
              </w:tabs>
              <w:ind w:right="-54"/>
              <w:jc w:val="both"/>
              <w:rPr>
                <w:rFonts w:ascii="Arial" w:hAnsi="Arial" w:cs="Arial"/>
              </w:rPr>
            </w:pPr>
            <w:r w:rsidRPr="00CF3BA7">
              <w:rPr>
                <w:rFonts w:ascii="Arial" w:hAnsi="Arial" w:cs="Arial"/>
              </w:rPr>
              <w:t>Legal proceedings</w:t>
            </w:r>
          </w:p>
        </w:tc>
        <w:tc>
          <w:tcPr>
            <w:tcW w:w="5200" w:type="dxa"/>
          </w:tcPr>
          <w:p w:rsidRPr="00CF3BA7" w:rsidR="00B84350" w:rsidP="00800C17" w:rsidRDefault="00B84350" w14:paraId="2DEB089A" w14:textId="77777777">
            <w:pPr>
              <w:pStyle w:val="NoSpacing"/>
              <w:tabs>
                <w:tab w:val="left" w:pos="567"/>
              </w:tabs>
              <w:ind w:right="-54"/>
              <w:jc w:val="both"/>
              <w:rPr>
                <w:rFonts w:ascii="Arial" w:hAnsi="Arial" w:cs="Arial"/>
              </w:rPr>
            </w:pPr>
            <w:r w:rsidRPr="00CF3BA7">
              <w:rPr>
                <w:rFonts w:ascii="Arial" w:hAnsi="Arial" w:cs="Arial"/>
              </w:rPr>
              <w:t xml:space="preserve">Private legal proceedings such a personal injury </w:t>
            </w:r>
            <w:proofErr w:type="gramStart"/>
            <w:r w:rsidRPr="00CF3BA7">
              <w:rPr>
                <w:rFonts w:ascii="Arial" w:hAnsi="Arial" w:cs="Arial"/>
              </w:rPr>
              <w:t>claims</w:t>
            </w:r>
            <w:proofErr w:type="gramEnd"/>
          </w:p>
        </w:tc>
        <w:tc>
          <w:tcPr>
            <w:tcW w:w="2126" w:type="dxa"/>
          </w:tcPr>
          <w:p w:rsidRPr="00CF3BA7" w:rsidR="00B84350" w:rsidP="00800C17" w:rsidRDefault="00B84350" w14:paraId="2CB5B591" w14:textId="77777777">
            <w:pPr>
              <w:pStyle w:val="NoSpacing"/>
              <w:tabs>
                <w:tab w:val="left" w:pos="567"/>
              </w:tabs>
              <w:ind w:right="-54"/>
              <w:jc w:val="both"/>
              <w:rPr>
                <w:rFonts w:ascii="Arial" w:hAnsi="Arial" w:cs="Arial"/>
              </w:rPr>
            </w:pPr>
            <w:r w:rsidRPr="00CF3BA7">
              <w:rPr>
                <w:rFonts w:ascii="Arial" w:hAnsi="Arial" w:cs="Arial"/>
              </w:rPr>
              <w:t>20 working days</w:t>
            </w:r>
          </w:p>
        </w:tc>
      </w:tr>
      <w:tr w:rsidR="00B84350" w:rsidTr="007F50FE" w14:paraId="068C1A52" w14:textId="77777777">
        <w:tc>
          <w:tcPr>
            <w:tcW w:w="2835" w:type="dxa"/>
          </w:tcPr>
          <w:p w:rsidRPr="00CF3BA7" w:rsidR="00B84350" w:rsidP="00800C17" w:rsidRDefault="00B84350" w14:paraId="631FEFB4" w14:textId="77777777">
            <w:pPr>
              <w:pStyle w:val="NoSpacing"/>
              <w:tabs>
                <w:tab w:val="left" w:pos="567"/>
              </w:tabs>
              <w:ind w:right="-54"/>
              <w:jc w:val="both"/>
              <w:rPr>
                <w:rFonts w:ascii="Arial" w:hAnsi="Arial" w:cs="Arial"/>
              </w:rPr>
            </w:pPr>
            <w:r w:rsidRPr="00CF3BA7">
              <w:rPr>
                <w:rFonts w:ascii="Arial" w:hAnsi="Arial" w:cs="Arial"/>
              </w:rPr>
              <w:t>Other Police Forces</w:t>
            </w:r>
          </w:p>
        </w:tc>
        <w:tc>
          <w:tcPr>
            <w:tcW w:w="5200" w:type="dxa"/>
          </w:tcPr>
          <w:p w:rsidRPr="00CF3BA7" w:rsidR="00B84350" w:rsidP="00800C17" w:rsidRDefault="00B84350" w14:paraId="5B3BB956" w14:textId="77777777">
            <w:pPr>
              <w:pStyle w:val="NoSpacing"/>
              <w:tabs>
                <w:tab w:val="left" w:pos="567"/>
              </w:tabs>
              <w:ind w:right="-54"/>
              <w:jc w:val="both"/>
              <w:rPr>
                <w:rFonts w:ascii="Arial" w:hAnsi="Arial" w:cs="Arial"/>
              </w:rPr>
            </w:pPr>
            <w:r w:rsidRPr="00CF3BA7">
              <w:rPr>
                <w:rFonts w:ascii="Arial" w:hAnsi="Arial" w:cs="Arial"/>
              </w:rPr>
              <w:t>Request from other forces for information held by Nottinghamshire Police</w:t>
            </w:r>
          </w:p>
        </w:tc>
        <w:tc>
          <w:tcPr>
            <w:tcW w:w="2126" w:type="dxa"/>
          </w:tcPr>
          <w:p w:rsidRPr="00CF3BA7" w:rsidR="00B84350" w:rsidP="00800C17" w:rsidRDefault="00B84350" w14:paraId="1D41F621" w14:textId="77777777">
            <w:pPr>
              <w:pStyle w:val="NoSpacing"/>
              <w:tabs>
                <w:tab w:val="left" w:pos="567"/>
              </w:tabs>
              <w:ind w:right="-54"/>
              <w:jc w:val="both"/>
              <w:rPr>
                <w:rFonts w:ascii="Arial" w:hAnsi="Arial" w:cs="Arial"/>
              </w:rPr>
            </w:pPr>
            <w:r w:rsidRPr="00CF3BA7">
              <w:rPr>
                <w:rFonts w:ascii="Arial" w:hAnsi="Arial" w:cs="Arial"/>
              </w:rPr>
              <w:t>No set timescale as soon as is practicable</w:t>
            </w:r>
          </w:p>
        </w:tc>
      </w:tr>
      <w:tr w:rsidR="00B84350" w:rsidTr="007F50FE" w14:paraId="06089B66" w14:textId="77777777">
        <w:tc>
          <w:tcPr>
            <w:tcW w:w="2835" w:type="dxa"/>
          </w:tcPr>
          <w:p w:rsidRPr="00CF3BA7" w:rsidR="00B84350" w:rsidP="00800C17" w:rsidRDefault="00B84350" w14:paraId="47DA7675" w14:textId="77777777">
            <w:pPr>
              <w:pStyle w:val="NoSpacing"/>
              <w:tabs>
                <w:tab w:val="left" w:pos="567"/>
              </w:tabs>
              <w:ind w:right="-54"/>
              <w:jc w:val="both"/>
              <w:rPr>
                <w:rFonts w:ascii="Arial" w:hAnsi="Arial" w:cs="Arial"/>
              </w:rPr>
            </w:pPr>
            <w:r w:rsidRPr="00CF3BA7">
              <w:rPr>
                <w:rFonts w:ascii="Arial" w:hAnsi="Arial" w:cs="Arial"/>
              </w:rPr>
              <w:t>Schedule 2, Part 1, Paragraph 2: Crime and Taxation</w:t>
            </w:r>
          </w:p>
        </w:tc>
        <w:tc>
          <w:tcPr>
            <w:tcW w:w="5200" w:type="dxa"/>
          </w:tcPr>
          <w:p w:rsidRPr="00CF3BA7" w:rsidR="00B84350" w:rsidP="00800C17" w:rsidRDefault="00B84350" w14:paraId="22FF48F6" w14:textId="77777777">
            <w:pPr>
              <w:pStyle w:val="NoSpacing"/>
              <w:tabs>
                <w:tab w:val="left" w:pos="567"/>
              </w:tabs>
              <w:ind w:right="-54"/>
              <w:jc w:val="both"/>
              <w:rPr>
                <w:rFonts w:ascii="Arial" w:hAnsi="Arial" w:cs="Arial"/>
              </w:rPr>
            </w:pPr>
            <w:r w:rsidRPr="00CF3BA7">
              <w:rPr>
                <w:rFonts w:ascii="Arial" w:hAnsi="Arial" w:cs="Arial"/>
              </w:rPr>
              <w:t xml:space="preserve">Requests from other prosecuting bodies such as DWP, local authorities and RSPCA </w:t>
            </w:r>
          </w:p>
        </w:tc>
        <w:tc>
          <w:tcPr>
            <w:tcW w:w="2126" w:type="dxa"/>
          </w:tcPr>
          <w:p w:rsidRPr="00CF3BA7" w:rsidR="00B84350" w:rsidP="00800C17" w:rsidRDefault="00B84350" w14:paraId="369ED2C5" w14:textId="77777777">
            <w:pPr>
              <w:pStyle w:val="NoSpacing"/>
              <w:tabs>
                <w:tab w:val="left" w:pos="567"/>
              </w:tabs>
              <w:ind w:right="-54"/>
              <w:jc w:val="both"/>
              <w:rPr>
                <w:rFonts w:ascii="Arial" w:hAnsi="Arial" w:cs="Arial"/>
              </w:rPr>
            </w:pPr>
            <w:r w:rsidRPr="00CF3BA7">
              <w:rPr>
                <w:rFonts w:ascii="Arial" w:hAnsi="Arial" w:cs="Arial"/>
              </w:rPr>
              <w:t>20 working days</w:t>
            </w:r>
          </w:p>
        </w:tc>
      </w:tr>
    </w:tbl>
    <w:p w:rsidR="00B84350" w:rsidP="00800C17" w:rsidRDefault="00CB0A1A" w14:paraId="133E44A4" w14:textId="77777777">
      <w:pPr>
        <w:tabs>
          <w:tab w:val="left" w:pos="567"/>
        </w:tabs>
        <w:ind w:right="-54"/>
        <w:jc w:val="both"/>
        <w:rPr>
          <w:rFonts w:cs="Arial"/>
          <w:b/>
          <w:szCs w:val="24"/>
        </w:rPr>
      </w:pPr>
      <w:r>
        <w:rPr>
          <w:rFonts w:cs="Arial"/>
          <w:b/>
          <w:szCs w:val="24"/>
        </w:rPr>
        <w:t xml:space="preserve"> </w:t>
      </w:r>
    </w:p>
    <w:p w:rsidR="00CB0A1A" w:rsidP="00800C17" w:rsidRDefault="00CB0A1A" w14:paraId="56DBFDFA" w14:textId="762CF818">
      <w:pPr>
        <w:tabs>
          <w:tab w:val="left" w:pos="567"/>
        </w:tabs>
        <w:ind w:right="-54"/>
        <w:jc w:val="both"/>
        <w:rPr>
          <w:rFonts w:cs="Arial"/>
          <w:b/>
          <w:szCs w:val="24"/>
        </w:rPr>
      </w:pPr>
      <w:r>
        <w:rPr>
          <w:rFonts w:cs="Arial"/>
          <w:b/>
          <w:szCs w:val="24"/>
        </w:rPr>
        <w:tab/>
      </w:r>
      <w:r w:rsidRPr="00073297">
        <w:rPr>
          <w:rFonts w:cs="Arial"/>
          <w:b/>
          <w:szCs w:val="24"/>
        </w:rPr>
        <w:t>Current Demand Levels:</w:t>
      </w:r>
      <w:r w:rsidR="00DB5375">
        <w:rPr>
          <w:rFonts w:cs="Arial"/>
          <w:b/>
          <w:szCs w:val="24"/>
        </w:rPr>
        <w:t xml:space="preserve"> </w:t>
      </w:r>
      <w:r w:rsidR="00A736A4">
        <w:rPr>
          <w:rFonts w:cs="Arial"/>
          <w:b/>
          <w:szCs w:val="24"/>
        </w:rPr>
        <w:t xml:space="preserve">Court Orders - </w:t>
      </w:r>
      <w:r w:rsidR="00DB5375">
        <w:rPr>
          <w:rFonts w:cs="Arial"/>
          <w:b/>
          <w:szCs w:val="24"/>
        </w:rPr>
        <w:t xml:space="preserve">CCRIMS </w:t>
      </w:r>
    </w:p>
    <w:p w:rsidR="00A736A4" w:rsidP="00800C17" w:rsidRDefault="00802C43" w14:paraId="0B61AEDF" w14:textId="20B427C4">
      <w:pPr>
        <w:tabs>
          <w:tab w:val="left" w:pos="567"/>
        </w:tabs>
        <w:ind w:right="-54"/>
        <w:jc w:val="both"/>
        <w:rPr>
          <w:rFonts w:cs="Arial"/>
          <w:b/>
          <w:szCs w:val="24"/>
        </w:rPr>
      </w:pPr>
      <w:r>
        <w:rPr>
          <w:noProof/>
        </w:rPr>
        <w:drawing>
          <wp:inline distT="0" distB="0" distL="0" distR="0" wp14:anchorId="3A664120" wp14:editId="47EF7C82">
            <wp:extent cx="6480810" cy="4083050"/>
            <wp:effectExtent l="0" t="0" r="15240" b="12700"/>
            <wp:docPr id="1" name="Chart 1">
              <a:extLst xmlns:a="http://schemas.openxmlformats.org/drawingml/2006/main">
                <a:ext uri="{FF2B5EF4-FFF2-40B4-BE49-F238E27FC236}">
                  <a16:creationId xmlns:a16="http://schemas.microsoft.com/office/drawing/2014/main" id="{DFA2AA34-0547-4204-86DC-87D335A1BD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073297" w:rsidR="00A736A4" w:rsidP="00800C17" w:rsidRDefault="00A736A4" w14:paraId="32ACEEE2" w14:textId="77777777">
      <w:pPr>
        <w:tabs>
          <w:tab w:val="left" w:pos="567"/>
        </w:tabs>
        <w:ind w:right="-54"/>
        <w:jc w:val="both"/>
        <w:rPr>
          <w:rFonts w:cs="Arial"/>
          <w:b/>
          <w:szCs w:val="24"/>
        </w:rPr>
      </w:pPr>
    </w:p>
    <w:p w:rsidRPr="00073297" w:rsidR="00073297" w:rsidP="00800C17" w:rsidRDefault="00A736A4" w14:paraId="4FC6FC17" w14:textId="7F8D53A3">
      <w:pPr>
        <w:tabs>
          <w:tab w:val="left" w:pos="567"/>
        </w:tabs>
        <w:ind w:left="720" w:right="-54"/>
        <w:jc w:val="both"/>
        <w:rPr>
          <w:rFonts w:cs="Arial"/>
          <w:szCs w:val="24"/>
        </w:rPr>
      </w:pPr>
      <w:r>
        <w:rPr>
          <w:rFonts w:cs="Arial"/>
          <w:szCs w:val="24"/>
        </w:rPr>
        <w:t xml:space="preserve">The number of Court Orders received during this review period has remained high.  </w:t>
      </w:r>
      <w:r w:rsidR="005B0D71">
        <w:rPr>
          <w:rFonts w:cs="Arial"/>
          <w:szCs w:val="24"/>
        </w:rPr>
        <w:t xml:space="preserve">Of particular note and which are highlighted above are the </w:t>
      </w:r>
      <w:proofErr w:type="spellStart"/>
      <w:r w:rsidR="005B0D71">
        <w:rPr>
          <w:rFonts w:cs="Arial"/>
          <w:szCs w:val="24"/>
        </w:rPr>
        <w:t>Ccrims</w:t>
      </w:r>
      <w:proofErr w:type="spellEnd"/>
      <w:r w:rsidR="005B0D71">
        <w:rPr>
          <w:rFonts w:cs="Arial"/>
          <w:szCs w:val="24"/>
        </w:rPr>
        <w:t xml:space="preserve">.  The processing of these requests </w:t>
      </w:r>
      <w:proofErr w:type="gramStart"/>
      <w:r w:rsidR="005B0D71">
        <w:rPr>
          <w:rFonts w:cs="Arial"/>
          <w:szCs w:val="24"/>
        </w:rPr>
        <w:t>are</w:t>
      </w:r>
      <w:proofErr w:type="gramEnd"/>
      <w:r w:rsidR="005B0D71">
        <w:rPr>
          <w:rFonts w:cs="Arial"/>
          <w:szCs w:val="24"/>
        </w:rPr>
        <w:t xml:space="preserve"> single person dependant currently and this is being closely monitored. W</w:t>
      </w:r>
      <w:r w:rsidR="00271B11">
        <w:rPr>
          <w:rFonts w:cs="Arial"/>
          <w:szCs w:val="24"/>
        </w:rPr>
        <w:t>ork is</w:t>
      </w:r>
      <w:r w:rsidR="005B0D71">
        <w:rPr>
          <w:rFonts w:cs="Arial"/>
          <w:szCs w:val="24"/>
        </w:rPr>
        <w:t xml:space="preserve"> ongoing to explore opportunities within the wider Multi-Agency Support Hubs</w:t>
      </w:r>
      <w:r w:rsidR="00271B11">
        <w:rPr>
          <w:rFonts w:cs="Arial"/>
          <w:szCs w:val="24"/>
        </w:rPr>
        <w:t xml:space="preserve"> </w:t>
      </w:r>
      <w:r w:rsidR="005B0D71">
        <w:rPr>
          <w:rFonts w:cs="Arial"/>
          <w:szCs w:val="24"/>
        </w:rPr>
        <w:t xml:space="preserve">to reduce this backlog and meet demand.  Further work is also </w:t>
      </w:r>
      <w:r w:rsidR="00271B11">
        <w:rPr>
          <w:rFonts w:cs="Arial"/>
          <w:szCs w:val="24"/>
        </w:rPr>
        <w:t xml:space="preserve">required to understand where the demand is coming from </w:t>
      </w:r>
      <w:proofErr w:type="gramStart"/>
      <w:r w:rsidR="00271B11">
        <w:rPr>
          <w:rFonts w:cs="Arial"/>
          <w:szCs w:val="24"/>
        </w:rPr>
        <w:t>e.g.</w:t>
      </w:r>
      <w:proofErr w:type="gramEnd"/>
      <w:r w:rsidR="00AB177E">
        <w:rPr>
          <w:rFonts w:cs="Arial"/>
          <w:szCs w:val="24"/>
        </w:rPr>
        <w:t xml:space="preserve"> is it predominantly Local Authority Social Care Departments</w:t>
      </w:r>
      <w:r>
        <w:rPr>
          <w:rFonts w:cs="Arial"/>
          <w:szCs w:val="24"/>
        </w:rPr>
        <w:t xml:space="preserve">.  </w:t>
      </w:r>
      <w:r w:rsidR="005B0D71">
        <w:rPr>
          <w:rFonts w:cs="Arial"/>
          <w:szCs w:val="24"/>
        </w:rPr>
        <w:t>E</w:t>
      </w:r>
      <w:r>
        <w:rPr>
          <w:rFonts w:cs="Arial"/>
          <w:szCs w:val="24"/>
        </w:rPr>
        <w:t xml:space="preserve">ngagement can then be made with the relevant stakeholders to explore options for managing demand differently. </w:t>
      </w:r>
      <w:r w:rsidRPr="00073297" w:rsidR="00E842C2">
        <w:rPr>
          <w:rFonts w:cs="Arial"/>
          <w:szCs w:val="24"/>
        </w:rPr>
        <w:t xml:space="preserve">The majority of all Court Orders received </w:t>
      </w:r>
      <w:r w:rsidRPr="00073297" w:rsidR="00CF545E">
        <w:rPr>
          <w:rFonts w:cs="Arial"/>
          <w:szCs w:val="24"/>
        </w:rPr>
        <w:t>are</w:t>
      </w:r>
      <w:r w:rsidRPr="00073297" w:rsidR="00E842C2">
        <w:rPr>
          <w:rFonts w:cs="Arial"/>
          <w:szCs w:val="24"/>
        </w:rPr>
        <w:t xml:space="preserve"> responded to within the order deadline as they are prioritised over other types of </w:t>
      </w:r>
      <w:proofErr w:type="gramStart"/>
      <w:r w:rsidRPr="00073297" w:rsidR="00E842C2">
        <w:rPr>
          <w:rFonts w:cs="Arial"/>
          <w:szCs w:val="24"/>
        </w:rPr>
        <w:t>request</w:t>
      </w:r>
      <w:proofErr w:type="gramEnd"/>
      <w:r w:rsidRPr="00073297" w:rsidR="00E842C2">
        <w:rPr>
          <w:rFonts w:cs="Arial"/>
          <w:szCs w:val="24"/>
        </w:rPr>
        <w:t xml:space="preserve"> due to the risk of delays on cases being managed through the Family Court system</w:t>
      </w:r>
      <w:r>
        <w:rPr>
          <w:rFonts w:cs="Arial"/>
          <w:szCs w:val="24"/>
        </w:rPr>
        <w:t xml:space="preserve">. </w:t>
      </w:r>
      <w:r w:rsidRPr="00073297" w:rsidR="00E842C2">
        <w:rPr>
          <w:rFonts w:cs="Arial"/>
          <w:szCs w:val="24"/>
        </w:rPr>
        <w:t xml:space="preserve">This prioritisation </w:t>
      </w:r>
      <w:r w:rsidR="005B0D71">
        <w:rPr>
          <w:rFonts w:cs="Arial"/>
          <w:szCs w:val="24"/>
        </w:rPr>
        <w:t>can impact</w:t>
      </w:r>
      <w:r w:rsidRPr="00073297" w:rsidR="00E842C2">
        <w:rPr>
          <w:rFonts w:cs="Arial"/>
          <w:szCs w:val="24"/>
        </w:rPr>
        <w:t xml:space="preserve"> on the corresponding delays to the other types of </w:t>
      </w:r>
      <w:proofErr w:type="gramStart"/>
      <w:r w:rsidRPr="00073297" w:rsidR="00E842C2">
        <w:rPr>
          <w:rFonts w:cs="Arial"/>
          <w:szCs w:val="24"/>
        </w:rPr>
        <w:t>request</w:t>
      </w:r>
      <w:proofErr w:type="gramEnd"/>
      <w:r w:rsidRPr="00073297" w:rsidR="00E842C2">
        <w:rPr>
          <w:rFonts w:cs="Arial"/>
          <w:szCs w:val="24"/>
        </w:rPr>
        <w:t xml:space="preserve"> such as FOI’s and Subject Access requests.</w:t>
      </w:r>
    </w:p>
    <w:p w:rsidR="007003D2" w:rsidP="00800C17" w:rsidRDefault="007003D2" w14:paraId="0B26B13F" w14:textId="6BCE9670">
      <w:pPr>
        <w:pStyle w:val="NoSpacing"/>
        <w:tabs>
          <w:tab w:val="left" w:pos="567"/>
        </w:tabs>
        <w:ind w:right="-54"/>
        <w:jc w:val="both"/>
        <w:rPr>
          <w:rFonts w:ascii="Arial" w:hAnsi="Arial" w:cs="Arial"/>
          <w:sz w:val="24"/>
          <w:szCs w:val="24"/>
        </w:rPr>
      </w:pPr>
    </w:p>
    <w:p w:rsidR="005B0D71" w:rsidP="00800C17" w:rsidRDefault="005B0D71" w14:paraId="6F6E3B33" w14:textId="72E1FEBF">
      <w:pPr>
        <w:pStyle w:val="NoSpacing"/>
        <w:tabs>
          <w:tab w:val="left" w:pos="567"/>
        </w:tabs>
        <w:ind w:right="-54"/>
        <w:jc w:val="both"/>
        <w:rPr>
          <w:rFonts w:ascii="Arial" w:hAnsi="Arial" w:cs="Arial"/>
          <w:sz w:val="24"/>
          <w:szCs w:val="24"/>
        </w:rPr>
      </w:pPr>
    </w:p>
    <w:p w:rsidR="005B0D71" w:rsidP="00800C17" w:rsidRDefault="005B0D71" w14:paraId="62F6E2E4" w14:textId="77777777">
      <w:pPr>
        <w:pStyle w:val="NoSpacing"/>
        <w:tabs>
          <w:tab w:val="left" w:pos="567"/>
        </w:tabs>
        <w:ind w:right="-54"/>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1B247EA0" w14:textId="77777777">
        <w:tc>
          <w:tcPr>
            <w:tcW w:w="9242" w:type="dxa"/>
          </w:tcPr>
          <w:p w:rsidRPr="00826D93" w:rsidR="00C843AA" w:rsidP="00800C17" w:rsidRDefault="00C843AA" w14:paraId="666A67FF" w14:textId="77777777">
            <w:pPr>
              <w:pStyle w:val="NoSpacing"/>
              <w:numPr>
                <w:ilvl w:val="0"/>
                <w:numId w:val="20"/>
              </w:numPr>
              <w:tabs>
                <w:tab w:val="left" w:pos="567"/>
              </w:tabs>
              <w:ind w:left="426" w:right="-54" w:hanging="426"/>
              <w:jc w:val="both"/>
              <w:rPr>
                <w:rFonts w:ascii="Arial" w:hAnsi="Arial" w:cs="Arial"/>
                <w:b/>
                <w:sz w:val="24"/>
                <w:szCs w:val="24"/>
              </w:rPr>
            </w:pPr>
            <w:r w:rsidRPr="00826D93">
              <w:rPr>
                <w:rFonts w:ascii="Arial" w:hAnsi="Arial" w:cs="Arial"/>
                <w:b/>
                <w:sz w:val="24"/>
                <w:szCs w:val="24"/>
              </w:rPr>
              <w:t>Financial Implications and Budget Provision</w:t>
            </w:r>
          </w:p>
        </w:tc>
      </w:tr>
    </w:tbl>
    <w:p w:rsidRPr="00C45998" w:rsidR="00C843AA" w:rsidP="00800C17" w:rsidRDefault="00C843AA" w14:paraId="621A838F" w14:textId="77777777">
      <w:pPr>
        <w:pStyle w:val="NoSpacing"/>
        <w:tabs>
          <w:tab w:val="left" w:pos="567"/>
        </w:tabs>
        <w:ind w:right="-54"/>
        <w:jc w:val="both"/>
        <w:rPr>
          <w:rFonts w:ascii="Arial" w:hAnsi="Arial" w:cs="Arial"/>
          <w:sz w:val="24"/>
          <w:szCs w:val="24"/>
        </w:rPr>
      </w:pPr>
    </w:p>
    <w:p w:rsidR="004157FC" w:rsidP="00800C17" w:rsidRDefault="009017E1" w14:paraId="79F65213" w14:textId="2416D6D5">
      <w:pPr>
        <w:pStyle w:val="ListParagraph"/>
        <w:numPr>
          <w:ilvl w:val="1"/>
          <w:numId w:val="20"/>
        </w:numPr>
        <w:tabs>
          <w:tab w:val="left" w:pos="567"/>
        </w:tabs>
        <w:spacing w:line="240" w:lineRule="auto"/>
        <w:ind w:left="426" w:right="-54" w:hanging="426"/>
        <w:jc w:val="both"/>
        <w:rPr>
          <w:rFonts w:ascii="Arial" w:hAnsi="Arial" w:cs="Arial"/>
          <w:sz w:val="24"/>
          <w:szCs w:val="24"/>
        </w:rPr>
      </w:pPr>
      <w:r>
        <w:rPr>
          <w:rFonts w:ascii="Arial" w:hAnsi="Arial" w:cs="Arial"/>
          <w:sz w:val="24"/>
          <w:szCs w:val="24"/>
        </w:rPr>
        <w:t>None.</w:t>
      </w:r>
    </w:p>
    <w:p w:rsidR="004157FC" w:rsidP="00800C17" w:rsidRDefault="004157FC" w14:paraId="0E0DDC0F" w14:textId="44BFF661">
      <w:pPr>
        <w:pStyle w:val="ListParagraph"/>
        <w:tabs>
          <w:tab w:val="left" w:pos="567"/>
        </w:tabs>
        <w:spacing w:line="240" w:lineRule="auto"/>
        <w:ind w:left="426" w:right="-54"/>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296E88CD" w14:textId="77777777">
        <w:tc>
          <w:tcPr>
            <w:tcW w:w="9242" w:type="dxa"/>
          </w:tcPr>
          <w:p w:rsidRPr="00826D93" w:rsidR="00C843AA" w:rsidP="00800C17" w:rsidRDefault="00D00312" w14:paraId="666E1D7F" w14:textId="77777777">
            <w:pPr>
              <w:pStyle w:val="NoSpacing"/>
              <w:tabs>
                <w:tab w:val="left" w:pos="567"/>
              </w:tabs>
              <w:ind w:left="426" w:right="-54" w:hanging="426"/>
              <w:jc w:val="both"/>
              <w:rPr>
                <w:rFonts w:ascii="Arial" w:hAnsi="Arial" w:cs="Arial"/>
                <w:b/>
                <w:sz w:val="24"/>
                <w:szCs w:val="24"/>
              </w:rPr>
            </w:pPr>
            <w:r>
              <w:rPr>
                <w:rFonts w:ascii="Arial" w:hAnsi="Arial" w:cs="Arial"/>
                <w:b/>
                <w:sz w:val="24"/>
                <w:szCs w:val="24"/>
              </w:rPr>
              <w:t xml:space="preserve">6    </w:t>
            </w:r>
            <w:r w:rsidRPr="00826D93" w:rsidR="00C843AA">
              <w:rPr>
                <w:rFonts w:ascii="Arial" w:hAnsi="Arial" w:cs="Arial"/>
                <w:b/>
                <w:sz w:val="24"/>
                <w:szCs w:val="24"/>
              </w:rPr>
              <w:t>Human Resources Implications</w:t>
            </w:r>
          </w:p>
        </w:tc>
      </w:tr>
    </w:tbl>
    <w:p w:rsidRPr="0069013F" w:rsidR="00C843AA" w:rsidP="00800C17" w:rsidRDefault="00C843AA" w14:paraId="1082D706" w14:textId="77777777">
      <w:pPr>
        <w:pStyle w:val="NoSpacing"/>
        <w:tabs>
          <w:tab w:val="left" w:pos="567"/>
        </w:tabs>
        <w:ind w:right="-54"/>
        <w:jc w:val="both"/>
        <w:rPr>
          <w:rFonts w:ascii="Arial" w:hAnsi="Arial" w:cs="Arial"/>
          <w:sz w:val="24"/>
          <w:szCs w:val="24"/>
        </w:rPr>
      </w:pPr>
    </w:p>
    <w:p w:rsidRPr="00964F39" w:rsidR="00141AC8" w:rsidP="00800C17" w:rsidRDefault="00A0598E" w14:paraId="56485C0F" w14:textId="5ECAD144">
      <w:pPr>
        <w:pStyle w:val="ListParagraph"/>
        <w:numPr>
          <w:ilvl w:val="1"/>
          <w:numId w:val="21"/>
        </w:numPr>
        <w:tabs>
          <w:tab w:val="left" w:pos="567"/>
        </w:tabs>
        <w:ind w:right="-54"/>
        <w:jc w:val="both"/>
        <w:rPr>
          <w:rFonts w:ascii="Arial" w:hAnsi="Arial" w:cs="Arial"/>
          <w:color w:val="FF0000"/>
          <w:sz w:val="24"/>
          <w:szCs w:val="24"/>
        </w:rPr>
      </w:pPr>
      <w:r w:rsidRPr="00964F39">
        <w:rPr>
          <w:rFonts w:ascii="Arial" w:hAnsi="Arial" w:cs="Arial"/>
          <w:sz w:val="24"/>
          <w:szCs w:val="24"/>
        </w:rPr>
        <w:t xml:space="preserve"> </w:t>
      </w:r>
      <w:r w:rsidRPr="00964F39" w:rsidR="00C85342">
        <w:rPr>
          <w:rFonts w:ascii="Arial" w:hAnsi="Arial" w:cs="Arial"/>
          <w:sz w:val="24"/>
          <w:szCs w:val="24"/>
        </w:rPr>
        <w:t>There are no direct HR implications for this year</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7AD30FA8" w14:textId="77777777">
        <w:tc>
          <w:tcPr>
            <w:tcW w:w="9242" w:type="dxa"/>
          </w:tcPr>
          <w:p w:rsidRPr="00826D93" w:rsidR="00C843AA" w:rsidP="00800C17" w:rsidRDefault="00D00312" w14:paraId="6D9B532E" w14:textId="77777777">
            <w:pPr>
              <w:pStyle w:val="NoSpacing"/>
              <w:tabs>
                <w:tab w:val="left" w:pos="567"/>
              </w:tabs>
              <w:ind w:left="426" w:right="-54" w:hanging="426"/>
              <w:jc w:val="both"/>
              <w:rPr>
                <w:rFonts w:ascii="Arial" w:hAnsi="Arial" w:cs="Arial"/>
                <w:b/>
                <w:sz w:val="24"/>
                <w:szCs w:val="24"/>
              </w:rPr>
            </w:pPr>
            <w:r>
              <w:rPr>
                <w:rFonts w:ascii="Arial" w:hAnsi="Arial" w:cs="Arial"/>
                <w:b/>
                <w:sz w:val="24"/>
                <w:szCs w:val="24"/>
              </w:rPr>
              <w:t xml:space="preserve">7    </w:t>
            </w:r>
            <w:r w:rsidRPr="00826D93" w:rsidR="00C843AA">
              <w:rPr>
                <w:rFonts w:ascii="Arial" w:hAnsi="Arial" w:cs="Arial"/>
                <w:b/>
                <w:sz w:val="24"/>
                <w:szCs w:val="24"/>
              </w:rPr>
              <w:t>Equality Implications</w:t>
            </w:r>
          </w:p>
        </w:tc>
      </w:tr>
    </w:tbl>
    <w:p w:rsidRPr="0069013F" w:rsidR="00C843AA" w:rsidP="00800C17" w:rsidRDefault="00C843AA" w14:paraId="0E0C9B4B" w14:textId="77777777">
      <w:pPr>
        <w:pStyle w:val="NoSpacing"/>
        <w:tabs>
          <w:tab w:val="left" w:pos="567"/>
        </w:tabs>
        <w:ind w:right="-54"/>
        <w:jc w:val="both"/>
        <w:rPr>
          <w:rFonts w:ascii="Arial" w:hAnsi="Arial" w:cs="Arial"/>
          <w:sz w:val="24"/>
          <w:szCs w:val="24"/>
        </w:rPr>
      </w:pPr>
    </w:p>
    <w:p w:rsidRPr="00C45998" w:rsidR="00C843AA" w:rsidP="00800C17" w:rsidRDefault="00A0598E" w14:paraId="14AE3815" w14:textId="77777777">
      <w:pPr>
        <w:pStyle w:val="ListParagraph"/>
        <w:numPr>
          <w:ilvl w:val="1"/>
          <w:numId w:val="22"/>
        </w:numPr>
        <w:tabs>
          <w:tab w:val="left" w:pos="567"/>
        </w:tabs>
        <w:spacing w:line="240" w:lineRule="auto"/>
        <w:ind w:right="-54"/>
        <w:jc w:val="both"/>
        <w:rPr>
          <w:rFonts w:ascii="Arial" w:hAnsi="Arial" w:cs="Arial"/>
          <w:sz w:val="24"/>
          <w:szCs w:val="24"/>
        </w:rPr>
      </w:pPr>
      <w:r>
        <w:rPr>
          <w:rFonts w:ascii="Arial" w:hAnsi="Arial" w:cs="Arial"/>
          <w:sz w:val="24"/>
          <w:szCs w:val="24"/>
        </w:rPr>
        <w:t xml:space="preserve"> </w:t>
      </w:r>
      <w:r w:rsidRPr="00C45998" w:rsidR="00C843AA">
        <w:rPr>
          <w:rFonts w:ascii="Arial" w:hAnsi="Arial" w:cs="Arial"/>
          <w:sz w:val="24"/>
          <w:szCs w:val="24"/>
        </w:rPr>
        <w:t xml:space="preserve">There are no equality implications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6FA8F947" w14:textId="77777777">
        <w:tc>
          <w:tcPr>
            <w:tcW w:w="9242" w:type="dxa"/>
          </w:tcPr>
          <w:p w:rsidRPr="00826D93" w:rsidR="00C843AA" w:rsidP="00800C17" w:rsidRDefault="00D50D01" w14:paraId="7AAA3B11" w14:textId="77777777">
            <w:pPr>
              <w:pStyle w:val="NoSpacing"/>
              <w:tabs>
                <w:tab w:val="left" w:pos="567"/>
              </w:tabs>
              <w:ind w:right="-54"/>
              <w:jc w:val="both"/>
              <w:rPr>
                <w:rFonts w:ascii="Arial" w:hAnsi="Arial" w:cs="Arial"/>
                <w:b/>
                <w:sz w:val="24"/>
                <w:szCs w:val="24"/>
              </w:rPr>
            </w:pPr>
            <w:r>
              <w:rPr>
                <w:rFonts w:ascii="Arial" w:hAnsi="Arial" w:cs="Arial"/>
                <w:b/>
                <w:sz w:val="24"/>
                <w:szCs w:val="24"/>
              </w:rPr>
              <w:t xml:space="preserve">8    </w:t>
            </w:r>
            <w:r w:rsidRPr="00826D93" w:rsidR="00C843AA">
              <w:rPr>
                <w:rFonts w:ascii="Arial" w:hAnsi="Arial" w:cs="Arial"/>
                <w:b/>
                <w:sz w:val="24"/>
                <w:szCs w:val="24"/>
              </w:rPr>
              <w:t>Risk Management</w:t>
            </w:r>
          </w:p>
        </w:tc>
      </w:tr>
    </w:tbl>
    <w:p w:rsidR="00C843AA" w:rsidP="00800C17" w:rsidRDefault="00C843AA" w14:paraId="40700D9B" w14:textId="77777777">
      <w:pPr>
        <w:pStyle w:val="NoSpacing"/>
        <w:tabs>
          <w:tab w:val="left" w:pos="567"/>
        </w:tabs>
        <w:ind w:right="-54"/>
        <w:jc w:val="both"/>
        <w:rPr>
          <w:rFonts w:ascii="Arial" w:hAnsi="Arial" w:cs="Arial"/>
          <w:sz w:val="24"/>
          <w:szCs w:val="24"/>
        </w:rPr>
      </w:pPr>
    </w:p>
    <w:p w:rsidRPr="00D77026" w:rsidR="00C843AA" w:rsidP="00800C17" w:rsidRDefault="00A0598E" w14:paraId="25C6D40B" w14:textId="77777777">
      <w:pPr>
        <w:pStyle w:val="ListParagraph"/>
        <w:numPr>
          <w:ilvl w:val="1"/>
          <w:numId w:val="23"/>
        </w:numPr>
        <w:tabs>
          <w:tab w:val="left" w:pos="567"/>
        </w:tabs>
        <w:spacing w:after="0"/>
        <w:ind w:right="-54"/>
        <w:jc w:val="both"/>
        <w:rPr>
          <w:rFonts w:ascii="Arial" w:hAnsi="Arial" w:cs="Arial"/>
          <w:sz w:val="24"/>
          <w:szCs w:val="24"/>
        </w:rPr>
      </w:pPr>
      <w:r>
        <w:rPr>
          <w:rFonts w:ascii="Arial" w:hAnsi="Arial" w:cs="Arial"/>
          <w:sz w:val="24"/>
          <w:szCs w:val="24"/>
        </w:rPr>
        <w:t xml:space="preserve"> </w:t>
      </w:r>
      <w:r w:rsidRPr="00D77026" w:rsidR="00D77026">
        <w:rPr>
          <w:rFonts w:ascii="Arial" w:hAnsi="Arial" w:cs="Arial"/>
          <w:sz w:val="24"/>
          <w:szCs w:val="24"/>
        </w:rPr>
        <w:t xml:space="preserve">Any risks relating to the FOI/DP function are identified on </w:t>
      </w:r>
      <w:r w:rsidRPr="00D77026" w:rsidR="00D959CD">
        <w:rPr>
          <w:rFonts w:ascii="Arial" w:hAnsi="Arial" w:cs="Arial"/>
          <w:sz w:val="24"/>
          <w:szCs w:val="24"/>
        </w:rPr>
        <w:t>the Information</w:t>
      </w:r>
      <w:r w:rsidRPr="00D77026" w:rsidR="00D77026">
        <w:rPr>
          <w:rFonts w:ascii="Arial" w:hAnsi="Arial" w:cs="Arial"/>
          <w:sz w:val="24"/>
          <w:szCs w:val="24"/>
        </w:rPr>
        <w:t xml:space="preserve"> </w:t>
      </w:r>
      <w:r w:rsidRPr="00D77026" w:rsidR="00AA6E5C">
        <w:rPr>
          <w:rFonts w:ascii="Arial" w:hAnsi="Arial" w:cs="Arial"/>
          <w:sz w:val="24"/>
          <w:szCs w:val="24"/>
        </w:rPr>
        <w:t>Management Risk</w:t>
      </w:r>
      <w:r w:rsidRPr="00D77026" w:rsidR="00D77026">
        <w:rPr>
          <w:rFonts w:ascii="Arial" w:hAnsi="Arial" w:cs="Arial"/>
          <w:sz w:val="24"/>
          <w:szCs w:val="24"/>
        </w:rPr>
        <w:t xml:space="preserve"> Register and managed locally. The Senior Information Risk Owner (DCC Barber) monitors all relevant risks via the </w:t>
      </w:r>
      <w:r w:rsidRPr="00D77026" w:rsidR="002925B1">
        <w:rPr>
          <w:rFonts w:ascii="Arial" w:hAnsi="Arial" w:cs="Arial"/>
          <w:sz w:val="24"/>
          <w:szCs w:val="24"/>
        </w:rPr>
        <w:t>Information</w:t>
      </w:r>
      <w:r w:rsidRPr="00D77026" w:rsidR="00D77026">
        <w:rPr>
          <w:rFonts w:ascii="Arial" w:hAnsi="Arial" w:cs="Arial"/>
          <w:sz w:val="24"/>
          <w:szCs w:val="24"/>
        </w:rPr>
        <w:t xml:space="preserve"> Management Board</w:t>
      </w:r>
    </w:p>
    <w:p w:rsidRPr="0069013F" w:rsidR="00C843AA" w:rsidP="00800C17" w:rsidRDefault="00C843AA" w14:paraId="57C17094" w14:textId="77777777">
      <w:pPr>
        <w:tabs>
          <w:tab w:val="left" w:pos="567"/>
        </w:tabs>
        <w:spacing w:after="0"/>
        <w:ind w:right="-54"/>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7113BFFF" w14:textId="77777777">
        <w:tc>
          <w:tcPr>
            <w:tcW w:w="9242" w:type="dxa"/>
          </w:tcPr>
          <w:p w:rsidRPr="00826D93" w:rsidR="00C843AA" w:rsidP="00800C17" w:rsidRDefault="00D50D01" w14:paraId="3308BBA7" w14:textId="77777777">
            <w:pPr>
              <w:pStyle w:val="NoSpacing"/>
              <w:tabs>
                <w:tab w:val="left" w:pos="567"/>
              </w:tabs>
              <w:spacing w:line="276" w:lineRule="auto"/>
              <w:ind w:right="-54"/>
              <w:jc w:val="both"/>
              <w:rPr>
                <w:rFonts w:ascii="Arial" w:hAnsi="Arial" w:cs="Arial"/>
                <w:b/>
                <w:sz w:val="24"/>
                <w:szCs w:val="24"/>
              </w:rPr>
            </w:pPr>
            <w:r>
              <w:rPr>
                <w:rFonts w:ascii="Arial" w:hAnsi="Arial" w:cs="Arial"/>
                <w:b/>
                <w:sz w:val="24"/>
                <w:szCs w:val="24"/>
              </w:rPr>
              <w:t xml:space="preserve">9    </w:t>
            </w:r>
            <w:r w:rsidRPr="00826D93" w:rsidR="00C843AA">
              <w:rPr>
                <w:rFonts w:ascii="Arial" w:hAnsi="Arial" w:cs="Arial"/>
                <w:b/>
                <w:sz w:val="24"/>
                <w:szCs w:val="24"/>
              </w:rPr>
              <w:t>Policy Implications and links to the Police and Crime Plan Priorities</w:t>
            </w:r>
          </w:p>
        </w:tc>
      </w:tr>
    </w:tbl>
    <w:p w:rsidRPr="0069013F" w:rsidR="00C843AA" w:rsidP="00800C17" w:rsidRDefault="00C843AA" w14:paraId="1DB97AAC" w14:textId="77777777">
      <w:pPr>
        <w:pStyle w:val="NoSpacing"/>
        <w:tabs>
          <w:tab w:val="left" w:pos="567"/>
        </w:tabs>
        <w:spacing w:line="276" w:lineRule="auto"/>
        <w:ind w:right="-54"/>
        <w:jc w:val="both"/>
        <w:rPr>
          <w:rFonts w:ascii="Arial" w:hAnsi="Arial" w:cs="Arial"/>
          <w:sz w:val="24"/>
          <w:szCs w:val="24"/>
        </w:rPr>
      </w:pPr>
    </w:p>
    <w:p w:rsidRPr="004877FD" w:rsidR="005D07F1" w:rsidP="00800C17" w:rsidRDefault="00A0598E" w14:paraId="6FA3D4A6" w14:textId="6859856B">
      <w:pPr>
        <w:pStyle w:val="NoSpacing"/>
        <w:numPr>
          <w:ilvl w:val="1"/>
          <w:numId w:val="24"/>
        </w:numPr>
        <w:tabs>
          <w:tab w:val="left" w:pos="567"/>
        </w:tabs>
        <w:ind w:right="-54"/>
        <w:jc w:val="both"/>
        <w:rPr>
          <w:rFonts w:ascii="Arial" w:hAnsi="Arial" w:cs="Arial"/>
          <w:sz w:val="24"/>
          <w:szCs w:val="24"/>
        </w:rPr>
      </w:pPr>
      <w:r>
        <w:rPr>
          <w:rFonts w:ascii="Arial" w:hAnsi="Arial" w:cs="Arial"/>
          <w:sz w:val="24"/>
          <w:szCs w:val="24"/>
        </w:rPr>
        <w:t xml:space="preserve"> </w:t>
      </w:r>
      <w:r w:rsidR="005D07F1">
        <w:rPr>
          <w:rFonts w:ascii="Arial" w:hAnsi="Arial" w:cs="Arial"/>
          <w:sz w:val="24"/>
          <w:szCs w:val="24"/>
        </w:rPr>
        <w:t xml:space="preserve">Links to </w:t>
      </w:r>
      <w:r w:rsidRPr="004877FD" w:rsidR="004877FD">
        <w:rPr>
          <w:rFonts w:ascii="Arial" w:hAnsi="Arial" w:cs="Arial"/>
          <w:sz w:val="24"/>
          <w:szCs w:val="24"/>
        </w:rPr>
        <w:t>Make Notts Safe Plan</w:t>
      </w:r>
      <w:r w:rsidR="004877FD">
        <w:rPr>
          <w:rFonts w:ascii="Arial" w:hAnsi="Arial" w:cs="Arial"/>
          <w:sz w:val="24"/>
          <w:szCs w:val="24"/>
        </w:rPr>
        <w:t xml:space="preserve">: </w:t>
      </w:r>
      <w:r w:rsidRPr="004877FD" w:rsidR="004877FD">
        <w:rPr>
          <w:rFonts w:ascii="Arial" w:hAnsi="Arial" w:cs="Arial"/>
          <w:sz w:val="24"/>
          <w:szCs w:val="24"/>
        </w:rPr>
        <w:t>Police &amp; Crime Plan 2021-25</w:t>
      </w:r>
      <w:r w:rsidRPr="004877FD" w:rsidR="005D07F1">
        <w:rPr>
          <w:rFonts w:ascii="Arial" w:hAnsi="Arial" w:cs="Arial"/>
          <w:sz w:val="24"/>
          <w:szCs w:val="24"/>
        </w:rPr>
        <w:t>:</w:t>
      </w:r>
    </w:p>
    <w:p w:rsidRPr="00852C26" w:rsidR="006B6DC9" w:rsidP="00800C17" w:rsidRDefault="007B4840" w14:paraId="7B21DF09" w14:textId="3B282663">
      <w:pPr>
        <w:pStyle w:val="NoSpacing"/>
        <w:numPr>
          <w:ilvl w:val="2"/>
          <w:numId w:val="24"/>
        </w:numPr>
        <w:tabs>
          <w:tab w:val="left" w:pos="567"/>
        </w:tabs>
        <w:ind w:right="-54"/>
        <w:jc w:val="both"/>
        <w:rPr>
          <w:rFonts w:ascii="Arial" w:hAnsi="Arial" w:cs="Arial"/>
          <w:b/>
          <w:sz w:val="24"/>
          <w:szCs w:val="24"/>
        </w:rPr>
      </w:pPr>
      <w:r w:rsidRPr="00C36B2D">
        <w:rPr>
          <w:rFonts w:ascii="Arial" w:hAnsi="Arial" w:cs="Arial"/>
          <w:bCs/>
          <w:sz w:val="24"/>
          <w:szCs w:val="24"/>
        </w:rPr>
        <w:t>Responding efficiently and effectively to community needs and</w:t>
      </w:r>
      <w:r w:rsidRPr="00C36B2D" w:rsidR="00852C26">
        <w:rPr>
          <w:rFonts w:ascii="Arial" w:hAnsi="Arial" w:cs="Arial"/>
          <w:bCs/>
          <w:sz w:val="24"/>
          <w:szCs w:val="24"/>
        </w:rPr>
        <w:t xml:space="preserve"> </w:t>
      </w:r>
      <w:r w:rsidRPr="00C36B2D">
        <w:rPr>
          <w:rFonts w:ascii="Arial" w:hAnsi="Arial" w:cs="Arial"/>
          <w:bCs/>
          <w:sz w:val="24"/>
          <w:szCs w:val="24"/>
        </w:rPr>
        <w:t>Supporting victims and survivors, witnesses and communitie</w:t>
      </w:r>
      <w:r w:rsidRPr="00C36B2D" w:rsidR="00852C26">
        <w:rPr>
          <w:rFonts w:ascii="Arial" w:hAnsi="Arial" w:cs="Arial"/>
          <w:bCs/>
          <w:sz w:val="24"/>
          <w:szCs w:val="24"/>
        </w:rPr>
        <w:t>s</w:t>
      </w:r>
      <w:r w:rsidR="00C36B2D">
        <w:rPr>
          <w:rFonts w:ascii="Arial" w:hAnsi="Arial" w:cs="Arial"/>
          <w:sz w:val="24"/>
          <w:szCs w:val="24"/>
        </w:rPr>
        <w:t xml:space="preserve"> - </w:t>
      </w:r>
      <w:r w:rsidRPr="00852C26" w:rsidR="005F165B">
        <w:rPr>
          <w:rFonts w:ascii="Arial" w:hAnsi="Arial" w:cs="Arial"/>
          <w:sz w:val="24"/>
          <w:szCs w:val="24"/>
        </w:rPr>
        <w:t xml:space="preserve">The benefits of providing a good service to </w:t>
      </w:r>
      <w:r w:rsidR="00FD09FF">
        <w:rPr>
          <w:rFonts w:ascii="Arial" w:hAnsi="Arial" w:cs="Arial"/>
          <w:sz w:val="24"/>
          <w:szCs w:val="24"/>
        </w:rPr>
        <w:t>the</w:t>
      </w:r>
      <w:r w:rsidRPr="00852C26" w:rsidR="005F165B">
        <w:rPr>
          <w:rFonts w:ascii="Arial" w:hAnsi="Arial" w:cs="Arial"/>
          <w:sz w:val="24"/>
          <w:szCs w:val="24"/>
        </w:rPr>
        <w:t xml:space="preserve"> public </w:t>
      </w:r>
      <w:r w:rsidR="00FD09FF">
        <w:rPr>
          <w:rFonts w:ascii="Arial" w:hAnsi="Arial" w:cs="Arial"/>
          <w:sz w:val="24"/>
          <w:szCs w:val="24"/>
        </w:rPr>
        <w:t xml:space="preserve">and our partner organisations </w:t>
      </w:r>
      <w:r w:rsidRPr="00852C26" w:rsidR="005F165B">
        <w:rPr>
          <w:rFonts w:ascii="Arial" w:hAnsi="Arial" w:cs="Arial"/>
          <w:sz w:val="24"/>
          <w:szCs w:val="24"/>
        </w:rPr>
        <w:t xml:space="preserve">by responding to </w:t>
      </w:r>
      <w:r w:rsidR="00852C26">
        <w:rPr>
          <w:rFonts w:ascii="Arial" w:hAnsi="Arial" w:cs="Arial"/>
          <w:sz w:val="24"/>
          <w:szCs w:val="24"/>
        </w:rPr>
        <w:t>all</w:t>
      </w:r>
      <w:r w:rsidR="00C95B73">
        <w:rPr>
          <w:rFonts w:ascii="Arial" w:hAnsi="Arial" w:cs="Arial"/>
          <w:sz w:val="24"/>
          <w:szCs w:val="24"/>
        </w:rPr>
        <w:t xml:space="preserve"> types of </w:t>
      </w:r>
      <w:r w:rsidR="00852C26">
        <w:rPr>
          <w:rFonts w:ascii="Arial" w:hAnsi="Arial" w:cs="Arial"/>
          <w:sz w:val="24"/>
          <w:szCs w:val="24"/>
        </w:rPr>
        <w:t xml:space="preserve">information requests </w:t>
      </w:r>
      <w:r w:rsidRPr="00852C26" w:rsidR="005F165B">
        <w:rPr>
          <w:rFonts w:ascii="Arial" w:hAnsi="Arial" w:cs="Arial"/>
          <w:sz w:val="24"/>
          <w:szCs w:val="24"/>
        </w:rPr>
        <w:t xml:space="preserve">fully and </w:t>
      </w:r>
      <w:r w:rsidR="00EF1D3C">
        <w:rPr>
          <w:rFonts w:ascii="Arial" w:hAnsi="Arial" w:cs="Arial"/>
          <w:sz w:val="24"/>
          <w:szCs w:val="24"/>
        </w:rPr>
        <w:t xml:space="preserve">within an acceptable </w:t>
      </w:r>
      <w:r w:rsidRPr="00852C26" w:rsidR="005F165B">
        <w:rPr>
          <w:rFonts w:ascii="Arial" w:hAnsi="Arial" w:cs="Arial"/>
          <w:sz w:val="24"/>
          <w:szCs w:val="24"/>
        </w:rPr>
        <w:t>time</w:t>
      </w:r>
      <w:r w:rsidR="00EF1D3C">
        <w:rPr>
          <w:rFonts w:ascii="Arial" w:hAnsi="Arial" w:cs="Arial"/>
          <w:sz w:val="24"/>
          <w:szCs w:val="24"/>
        </w:rPr>
        <w:t>scale</w:t>
      </w:r>
      <w:r w:rsidRPr="00852C26" w:rsidR="005F165B">
        <w:rPr>
          <w:rFonts w:ascii="Arial" w:hAnsi="Arial" w:cs="Arial"/>
          <w:sz w:val="24"/>
          <w:szCs w:val="24"/>
        </w:rPr>
        <w:t xml:space="preserve"> </w:t>
      </w:r>
      <w:r w:rsidRPr="00852C26" w:rsidR="00C0529B">
        <w:rPr>
          <w:rFonts w:ascii="Arial" w:hAnsi="Arial" w:cs="Arial"/>
          <w:sz w:val="24"/>
          <w:szCs w:val="24"/>
        </w:rPr>
        <w:t>will s</w:t>
      </w:r>
      <w:r w:rsidRPr="00852C26" w:rsidR="007318A9">
        <w:rPr>
          <w:rFonts w:ascii="Arial" w:hAnsi="Arial" w:cs="Arial"/>
          <w:sz w:val="24"/>
          <w:szCs w:val="24"/>
        </w:rPr>
        <w:t>upport the</w:t>
      </w:r>
      <w:r w:rsidRPr="00852C26" w:rsidR="001A1C4E">
        <w:rPr>
          <w:rFonts w:ascii="Arial" w:hAnsi="Arial" w:cs="Arial"/>
          <w:sz w:val="24"/>
          <w:szCs w:val="24"/>
        </w:rPr>
        <w:t xml:space="preserve"> Commissioner</w:t>
      </w:r>
      <w:r w:rsidRPr="00852C26" w:rsidR="00C0529B">
        <w:rPr>
          <w:rFonts w:ascii="Arial" w:hAnsi="Arial" w:cs="Arial"/>
          <w:sz w:val="24"/>
          <w:szCs w:val="24"/>
        </w:rPr>
        <w:t xml:space="preserve">s </w:t>
      </w:r>
      <w:r w:rsidRPr="00852C26" w:rsidR="005F165B">
        <w:rPr>
          <w:rFonts w:ascii="Arial" w:hAnsi="Arial" w:cs="Arial"/>
          <w:sz w:val="24"/>
          <w:szCs w:val="24"/>
        </w:rPr>
        <w:t xml:space="preserve">pledge </w:t>
      </w:r>
      <w:r w:rsidRPr="00852C26" w:rsidR="001A1C4E">
        <w:rPr>
          <w:rFonts w:ascii="Arial" w:hAnsi="Arial" w:cs="Arial"/>
          <w:sz w:val="24"/>
          <w:szCs w:val="24"/>
        </w:rPr>
        <w:t>to improve confidence and satisfaction in policing</w:t>
      </w:r>
      <w:r w:rsidRPr="00852C26" w:rsidR="00C0529B">
        <w:rPr>
          <w:rFonts w:ascii="Arial" w:hAnsi="Arial" w:cs="Arial"/>
          <w:sz w:val="24"/>
          <w:szCs w:val="24"/>
        </w:rPr>
        <w:t xml:space="preserve"> services.</w:t>
      </w:r>
      <w:r w:rsidRPr="00852C26" w:rsidR="000F1322">
        <w:rPr>
          <w:rFonts w:ascii="Arial" w:hAnsi="Arial" w:cs="Arial"/>
          <w:sz w:val="24"/>
          <w:szCs w:val="24"/>
        </w:rPr>
        <w:t xml:space="preserve"> It will also reduce complaints </w:t>
      </w:r>
      <w:r w:rsidRPr="00852C26" w:rsidR="003045CE">
        <w:rPr>
          <w:rFonts w:ascii="Arial" w:hAnsi="Arial" w:cs="Arial"/>
          <w:sz w:val="24"/>
          <w:szCs w:val="24"/>
        </w:rPr>
        <w:t xml:space="preserve">to both the Information Commissioners office and PSD and reduce the resources required to </w:t>
      </w:r>
      <w:r w:rsidRPr="00852C26" w:rsidR="006B6DC9">
        <w:rPr>
          <w:rFonts w:ascii="Arial" w:hAnsi="Arial" w:cs="Arial"/>
          <w:sz w:val="24"/>
          <w:szCs w:val="24"/>
        </w:rPr>
        <w:t>respond to this failure demand.</w:t>
      </w:r>
    </w:p>
    <w:p w:rsidR="001A0CD4" w:rsidP="00800C17" w:rsidRDefault="001A0CD4" w14:paraId="134F16FE" w14:textId="77777777">
      <w:pPr>
        <w:pStyle w:val="NoSpacing"/>
        <w:tabs>
          <w:tab w:val="left" w:pos="567"/>
        </w:tabs>
        <w:spacing w:line="276" w:lineRule="auto"/>
        <w:ind w:left="709" w:right="-54"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7D4CE420" w14:textId="77777777">
        <w:tc>
          <w:tcPr>
            <w:tcW w:w="9242" w:type="dxa"/>
          </w:tcPr>
          <w:p w:rsidRPr="00826D93" w:rsidR="00C843AA" w:rsidP="00800C17" w:rsidRDefault="00D50D01" w14:paraId="5C31CB30" w14:textId="77777777">
            <w:pPr>
              <w:pStyle w:val="NoSpacing"/>
              <w:tabs>
                <w:tab w:val="left" w:pos="567"/>
              </w:tabs>
              <w:spacing w:line="276" w:lineRule="auto"/>
              <w:ind w:right="-54"/>
              <w:jc w:val="both"/>
              <w:rPr>
                <w:rFonts w:ascii="Arial" w:hAnsi="Arial" w:cs="Arial"/>
                <w:b/>
                <w:sz w:val="24"/>
                <w:szCs w:val="24"/>
              </w:rPr>
            </w:pPr>
            <w:proofErr w:type="gramStart"/>
            <w:r>
              <w:rPr>
                <w:rFonts w:ascii="Arial" w:hAnsi="Arial" w:cs="Arial"/>
                <w:b/>
                <w:sz w:val="24"/>
                <w:szCs w:val="24"/>
              </w:rPr>
              <w:t xml:space="preserve">10  </w:t>
            </w:r>
            <w:r w:rsidR="00C843AA">
              <w:rPr>
                <w:rFonts w:ascii="Arial" w:hAnsi="Arial" w:cs="Arial"/>
                <w:b/>
                <w:sz w:val="24"/>
                <w:szCs w:val="24"/>
              </w:rPr>
              <w:t>Changes</w:t>
            </w:r>
            <w:proofErr w:type="gramEnd"/>
            <w:r w:rsidR="00C843AA">
              <w:rPr>
                <w:rFonts w:ascii="Arial" w:hAnsi="Arial" w:cs="Arial"/>
                <w:b/>
                <w:sz w:val="24"/>
                <w:szCs w:val="24"/>
              </w:rPr>
              <w:t xml:space="preserve"> in Legislation or other Legal Considerations</w:t>
            </w:r>
          </w:p>
        </w:tc>
      </w:tr>
    </w:tbl>
    <w:p w:rsidRPr="0069013F" w:rsidR="00C843AA" w:rsidP="00800C17" w:rsidRDefault="00C843AA" w14:paraId="09D88ADA" w14:textId="77777777">
      <w:pPr>
        <w:pStyle w:val="NoSpacing"/>
        <w:tabs>
          <w:tab w:val="left" w:pos="567"/>
        </w:tabs>
        <w:spacing w:line="276" w:lineRule="auto"/>
        <w:ind w:right="-54"/>
        <w:jc w:val="both"/>
        <w:rPr>
          <w:rFonts w:ascii="Arial" w:hAnsi="Arial" w:cs="Arial"/>
          <w:sz w:val="24"/>
          <w:szCs w:val="24"/>
        </w:rPr>
      </w:pPr>
    </w:p>
    <w:p w:rsidRPr="009362DE" w:rsidR="00DE7360" w:rsidP="00800C17" w:rsidRDefault="00C95B73" w14:paraId="5A5DD7A9" w14:textId="57E86E76">
      <w:pPr>
        <w:pStyle w:val="NoSpacing"/>
        <w:tabs>
          <w:tab w:val="left" w:pos="567"/>
        </w:tabs>
        <w:spacing w:line="276" w:lineRule="auto"/>
        <w:ind w:right="-54"/>
        <w:jc w:val="both"/>
        <w:rPr>
          <w:rFonts w:ascii="Arial" w:hAnsi="Arial" w:cs="Arial"/>
          <w:sz w:val="24"/>
          <w:szCs w:val="24"/>
        </w:rPr>
      </w:pPr>
      <w:r>
        <w:rPr>
          <w:rFonts w:ascii="Arial" w:hAnsi="Arial" w:cs="Arial"/>
          <w:sz w:val="24"/>
          <w:szCs w:val="24"/>
        </w:rPr>
        <w:t xml:space="preserve">N/A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46AEFB9B" w14:textId="77777777">
        <w:tc>
          <w:tcPr>
            <w:tcW w:w="9242" w:type="dxa"/>
          </w:tcPr>
          <w:p w:rsidR="00C843AA" w:rsidP="00800C17" w:rsidRDefault="00D50D01" w14:paraId="5D2745D6" w14:textId="77777777">
            <w:pPr>
              <w:pStyle w:val="NoSpacing"/>
              <w:tabs>
                <w:tab w:val="left" w:pos="567"/>
              </w:tabs>
              <w:spacing w:line="276" w:lineRule="auto"/>
              <w:ind w:right="-54"/>
              <w:jc w:val="both"/>
              <w:rPr>
                <w:rFonts w:ascii="Arial" w:hAnsi="Arial" w:cs="Arial"/>
                <w:b/>
                <w:sz w:val="24"/>
                <w:szCs w:val="24"/>
              </w:rPr>
            </w:pPr>
            <w:proofErr w:type="gramStart"/>
            <w:r>
              <w:rPr>
                <w:rFonts w:ascii="Arial" w:hAnsi="Arial" w:cs="Arial"/>
                <w:b/>
                <w:sz w:val="24"/>
                <w:szCs w:val="24"/>
              </w:rPr>
              <w:t xml:space="preserve">11 </w:t>
            </w:r>
            <w:r w:rsidR="00C843AA">
              <w:rPr>
                <w:rFonts w:ascii="Arial" w:hAnsi="Arial" w:cs="Arial"/>
                <w:b/>
                <w:sz w:val="24"/>
                <w:szCs w:val="24"/>
              </w:rPr>
              <w:t xml:space="preserve"> </w:t>
            </w:r>
            <w:r w:rsidRPr="00826D93" w:rsidR="00C843AA">
              <w:rPr>
                <w:rFonts w:ascii="Arial" w:hAnsi="Arial" w:cs="Arial"/>
                <w:b/>
                <w:sz w:val="24"/>
                <w:szCs w:val="24"/>
              </w:rPr>
              <w:t>Details</w:t>
            </w:r>
            <w:proofErr w:type="gramEnd"/>
            <w:r w:rsidRPr="00826D93" w:rsidR="00C843AA">
              <w:rPr>
                <w:rFonts w:ascii="Arial" w:hAnsi="Arial" w:cs="Arial"/>
                <w:b/>
                <w:sz w:val="24"/>
                <w:szCs w:val="24"/>
              </w:rPr>
              <w:t xml:space="preserve"> of outcome of consultation</w:t>
            </w:r>
          </w:p>
        </w:tc>
      </w:tr>
    </w:tbl>
    <w:p w:rsidR="00C843AA" w:rsidP="00800C17" w:rsidRDefault="00C843AA" w14:paraId="41F7537B" w14:textId="77777777">
      <w:pPr>
        <w:pStyle w:val="NoSpacing"/>
        <w:tabs>
          <w:tab w:val="left" w:pos="567"/>
        </w:tabs>
        <w:spacing w:line="276" w:lineRule="auto"/>
        <w:ind w:right="-54"/>
        <w:jc w:val="both"/>
        <w:rPr>
          <w:rFonts w:ascii="Arial" w:hAnsi="Arial" w:cs="Arial"/>
          <w:sz w:val="24"/>
          <w:szCs w:val="24"/>
        </w:rPr>
      </w:pPr>
    </w:p>
    <w:p w:rsidR="000912E3" w:rsidP="00800C17" w:rsidRDefault="00FE439B" w14:paraId="484A7E49" w14:textId="77777777">
      <w:pPr>
        <w:pStyle w:val="NoSpacing"/>
        <w:tabs>
          <w:tab w:val="left" w:pos="567"/>
        </w:tabs>
        <w:spacing w:line="276" w:lineRule="auto"/>
        <w:ind w:right="-54"/>
        <w:jc w:val="both"/>
        <w:rPr>
          <w:rFonts w:ascii="Arial" w:hAnsi="Arial" w:cs="Arial"/>
          <w:sz w:val="24"/>
          <w:szCs w:val="24"/>
        </w:rPr>
      </w:pPr>
      <w:r>
        <w:rPr>
          <w:rFonts w:ascii="Arial" w:hAnsi="Arial" w:cs="Arial"/>
          <w:sz w:val="24"/>
          <w:szCs w:val="24"/>
        </w:rPr>
        <w:t>11.1</w:t>
      </w:r>
      <w:r>
        <w:rPr>
          <w:rFonts w:ascii="Arial" w:hAnsi="Arial" w:cs="Arial"/>
          <w:sz w:val="24"/>
          <w:szCs w:val="24"/>
        </w:rPr>
        <w:tab/>
      </w:r>
      <w:r w:rsidR="008B37CA">
        <w:rPr>
          <w:rFonts w:ascii="Arial" w:hAnsi="Arial" w:cs="Arial"/>
          <w:sz w:val="24"/>
          <w:szCs w:val="24"/>
        </w:rPr>
        <w:t>No consultation took place in preparing this report</w:t>
      </w:r>
    </w:p>
    <w:p w:rsidR="005F4136" w:rsidP="00800C17" w:rsidRDefault="005F4136" w14:paraId="6CDB7FDF" w14:textId="77777777">
      <w:pPr>
        <w:pStyle w:val="NoSpacing"/>
        <w:tabs>
          <w:tab w:val="left" w:pos="567"/>
        </w:tabs>
        <w:spacing w:line="276" w:lineRule="auto"/>
        <w:ind w:right="-54"/>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23EDD150" w14:textId="77777777">
        <w:tc>
          <w:tcPr>
            <w:tcW w:w="9242" w:type="dxa"/>
          </w:tcPr>
          <w:p w:rsidR="00C843AA" w:rsidP="00800C17" w:rsidRDefault="00C843AA" w14:paraId="3BC5878C" w14:textId="77777777">
            <w:pPr>
              <w:pStyle w:val="NoSpacing"/>
              <w:tabs>
                <w:tab w:val="left" w:pos="567"/>
              </w:tabs>
              <w:ind w:left="426" w:right="-54" w:hanging="426"/>
              <w:jc w:val="both"/>
              <w:rPr>
                <w:rFonts w:ascii="Arial" w:hAnsi="Arial" w:cs="Arial"/>
                <w:b/>
                <w:sz w:val="24"/>
                <w:szCs w:val="24"/>
              </w:rPr>
            </w:pPr>
            <w:r>
              <w:rPr>
                <w:rFonts w:ascii="Arial" w:hAnsi="Arial" w:cs="Arial"/>
                <w:b/>
                <w:sz w:val="24"/>
                <w:szCs w:val="24"/>
              </w:rPr>
              <w:t xml:space="preserve">12. </w:t>
            </w:r>
            <w:r>
              <w:rPr>
                <w:rFonts w:ascii="Arial" w:hAnsi="Arial" w:cs="Arial"/>
                <w:b/>
                <w:sz w:val="24"/>
                <w:szCs w:val="24"/>
              </w:rPr>
              <w:tab/>
              <w:t>Appendices</w:t>
            </w:r>
          </w:p>
        </w:tc>
      </w:tr>
    </w:tbl>
    <w:p w:rsidRPr="0069013F" w:rsidR="00C843AA" w:rsidP="00800C17" w:rsidRDefault="00C843AA" w14:paraId="7583C087" w14:textId="77777777">
      <w:pPr>
        <w:pStyle w:val="NoSpacing"/>
        <w:tabs>
          <w:tab w:val="left" w:pos="567"/>
        </w:tabs>
        <w:ind w:right="-54"/>
        <w:jc w:val="both"/>
        <w:rPr>
          <w:rFonts w:ascii="Arial" w:hAnsi="Arial" w:cs="Arial"/>
          <w:sz w:val="24"/>
          <w:szCs w:val="24"/>
        </w:rPr>
      </w:pPr>
    </w:p>
    <w:p w:rsidR="00976A3A" w:rsidP="00800C17" w:rsidRDefault="00382CF8" w14:paraId="038A8347" w14:textId="2D753F50">
      <w:pPr>
        <w:pStyle w:val="NoSpacing"/>
        <w:tabs>
          <w:tab w:val="left" w:pos="567"/>
        </w:tabs>
        <w:ind w:right="-54"/>
        <w:jc w:val="both"/>
        <w:rPr>
          <w:rFonts w:ascii="Arial" w:hAnsi="Arial" w:cs="Arial"/>
          <w:sz w:val="24"/>
          <w:szCs w:val="24"/>
        </w:rPr>
      </w:pPr>
      <w:r>
        <w:rPr>
          <w:rFonts w:ascii="Arial" w:hAnsi="Arial" w:cs="Arial"/>
          <w:sz w:val="24"/>
          <w:szCs w:val="24"/>
        </w:rPr>
        <w:t>12.1 None</w:t>
      </w:r>
    </w:p>
    <w:p w:rsidR="00382CF8" w:rsidP="00800C17" w:rsidRDefault="00382CF8" w14:paraId="060A9BA2" w14:textId="77777777">
      <w:pPr>
        <w:pStyle w:val="NoSpacing"/>
        <w:tabs>
          <w:tab w:val="left" w:pos="567"/>
        </w:tabs>
        <w:ind w:right="-54"/>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242"/>
      </w:tblGrid>
      <w:tr w:rsidRPr="0069013F" w:rsidR="00C843AA" w:rsidTr="008215ED" w14:paraId="305E2577" w14:textId="77777777">
        <w:tc>
          <w:tcPr>
            <w:tcW w:w="9242" w:type="dxa"/>
          </w:tcPr>
          <w:p w:rsidR="00C843AA" w:rsidP="00800C17" w:rsidRDefault="00C843AA" w14:paraId="73DAEA5F" w14:textId="77777777">
            <w:pPr>
              <w:pStyle w:val="NoSpacing"/>
              <w:tabs>
                <w:tab w:val="left" w:pos="567"/>
              </w:tabs>
              <w:ind w:left="426" w:right="-54" w:hanging="426"/>
              <w:jc w:val="both"/>
              <w:rPr>
                <w:rFonts w:ascii="Arial" w:hAnsi="Arial" w:cs="Arial"/>
                <w:b/>
                <w:sz w:val="24"/>
                <w:szCs w:val="24"/>
              </w:rPr>
            </w:pPr>
            <w:r>
              <w:rPr>
                <w:rFonts w:ascii="Arial" w:hAnsi="Arial" w:cs="Arial"/>
                <w:b/>
                <w:sz w:val="24"/>
                <w:szCs w:val="24"/>
              </w:rPr>
              <w:t xml:space="preserve">13. </w:t>
            </w:r>
            <w:r>
              <w:rPr>
                <w:rFonts w:ascii="Arial" w:hAnsi="Arial" w:cs="Arial"/>
                <w:b/>
                <w:sz w:val="24"/>
                <w:szCs w:val="24"/>
              </w:rPr>
              <w:tab/>
            </w:r>
            <w:r w:rsidRPr="0058075D">
              <w:rPr>
                <w:rFonts w:ascii="Arial" w:hAnsi="Arial" w:cs="Arial"/>
                <w:b/>
                <w:sz w:val="24"/>
                <w:szCs w:val="24"/>
              </w:rPr>
              <w:t>Background Papers (relevant for Police and Crime Panel Only)</w:t>
            </w:r>
          </w:p>
        </w:tc>
      </w:tr>
    </w:tbl>
    <w:p w:rsidR="00C843AA" w:rsidP="00800C17" w:rsidRDefault="00C843AA" w14:paraId="26D00FE3" w14:textId="77777777">
      <w:pPr>
        <w:pStyle w:val="NoSpacing"/>
        <w:tabs>
          <w:tab w:val="left" w:pos="567"/>
        </w:tabs>
        <w:ind w:right="-54"/>
        <w:jc w:val="both"/>
        <w:rPr>
          <w:rFonts w:ascii="Arial" w:hAnsi="Arial" w:cs="Arial"/>
          <w:sz w:val="24"/>
          <w:szCs w:val="24"/>
        </w:rPr>
      </w:pPr>
    </w:p>
    <w:p w:rsidRPr="00A736A4" w:rsidR="00455C3E" w:rsidP="00800C17" w:rsidRDefault="00C843AA" w14:paraId="32EFACA0" w14:textId="33BA447F">
      <w:pPr>
        <w:pStyle w:val="NoSpacing"/>
        <w:numPr>
          <w:ilvl w:val="0"/>
          <w:numId w:val="12"/>
        </w:numPr>
        <w:tabs>
          <w:tab w:val="left" w:pos="567"/>
        </w:tabs>
        <w:ind w:right="-54" w:hanging="720"/>
        <w:jc w:val="both"/>
        <w:rPr>
          <w:rFonts w:ascii="Arial" w:hAnsi="Arial" w:cs="Arial"/>
          <w:sz w:val="24"/>
          <w:szCs w:val="24"/>
        </w:rPr>
        <w:sectPr w:rsidRPr="00A736A4" w:rsidR="00455C3E" w:rsidSect="00086A7F">
          <w:headerReference w:type="even" r:id="rId16"/>
          <w:headerReference w:type="default" r:id="rId17"/>
          <w:footerReference w:type="even" r:id="rId18"/>
          <w:footerReference w:type="default" r:id="rId19"/>
          <w:headerReference w:type="first" r:id="rId20"/>
          <w:footerReference w:type="first" r:id="rId21"/>
          <w:pgSz w:w="11906" w:h="16838" w:code="9"/>
          <w:pgMar w:top="529" w:right="849" w:bottom="568" w:left="851" w:header="284" w:footer="0" w:gutter="0"/>
          <w:cols w:space="708"/>
          <w:docGrid w:linePitch="360"/>
        </w:sectPr>
      </w:pPr>
      <w:r>
        <w:rPr>
          <w:rFonts w:ascii="Arial" w:hAnsi="Arial" w:cs="Arial"/>
          <w:sz w:val="24"/>
          <w:szCs w:val="24"/>
        </w:rPr>
        <w:t>No background papers have been provide</w:t>
      </w:r>
      <w:r w:rsidR="00A736A4">
        <w:rPr>
          <w:rFonts w:ascii="Arial" w:hAnsi="Arial" w:cs="Arial"/>
          <w:sz w:val="24"/>
          <w:szCs w:val="24"/>
        </w:rPr>
        <w:t>d.</w:t>
      </w:r>
    </w:p>
    <w:p w:rsidRPr="00D96784" w:rsidR="005F0C93" w:rsidP="00A736A4" w:rsidRDefault="005F0C93" w14:paraId="3021E6CB" w14:textId="0D33BE22">
      <w:pPr>
        <w:pStyle w:val="NoSpacing"/>
        <w:tabs>
          <w:tab w:val="left" w:pos="567"/>
        </w:tabs>
        <w:ind w:right="-54"/>
        <w:jc w:val="both"/>
        <w:rPr>
          <w:rFonts w:ascii="Arial" w:hAnsi="Arial" w:cs="Arial"/>
          <w:b/>
        </w:rPr>
      </w:pPr>
    </w:p>
    <w:sectPr w:rsidRPr="00D96784" w:rsidR="005F0C93" w:rsidSect="0042518E">
      <w:pgSz w:w="16838" w:h="11906" w:orient="landscape" w:code="9"/>
      <w:pgMar w:top="709" w:right="1440" w:bottom="709"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8E6F" w14:textId="77777777" w:rsidR="00B52213" w:rsidRDefault="00B52213">
      <w:pPr>
        <w:pStyle w:val="NoSpacing"/>
      </w:pPr>
      <w:r>
        <w:separator/>
      </w:r>
    </w:p>
  </w:endnote>
  <w:endnote w:type="continuationSeparator" w:id="0">
    <w:p w14:paraId="45AA55F3" w14:textId="77777777" w:rsidR="00B52213" w:rsidRDefault="00B52213">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0E22" w14:textId="77777777" w:rsidR="00FC42BD" w:rsidRDefault="00FC4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162794"/>
      <w:docPartObj>
        <w:docPartGallery w:val="Page Numbers (Bottom of Page)"/>
        <w:docPartUnique/>
      </w:docPartObj>
    </w:sdtPr>
    <w:sdtEndPr>
      <w:rPr>
        <w:noProof/>
      </w:rPr>
    </w:sdtEndPr>
    <w:sdtContent>
      <w:p w14:paraId="121CFD64" w14:textId="700E89CB" w:rsidR="001A3F5A" w:rsidRDefault="001A3F5A">
        <w:pPr>
          <w:pStyle w:val="Footer"/>
          <w:jc w:val="right"/>
        </w:pPr>
        <w:r>
          <w:fldChar w:fldCharType="begin"/>
        </w:r>
        <w:r>
          <w:instrText xml:space="preserve"> PAGE   \* MERGEFORMAT </w:instrText>
        </w:r>
        <w:r>
          <w:fldChar w:fldCharType="separate"/>
        </w:r>
        <w:r w:rsidR="001A7724">
          <w:rPr>
            <w:noProof/>
          </w:rPr>
          <w:t>3</w:t>
        </w:r>
        <w:r>
          <w:rPr>
            <w:noProof/>
          </w:rPr>
          <w:fldChar w:fldCharType="end"/>
        </w:r>
      </w:p>
    </w:sdtContent>
  </w:sdt>
  <w:p w14:paraId="7D318E9C" w14:textId="77777777" w:rsidR="001A3F5A" w:rsidRDefault="001A3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B24A" w14:textId="77777777" w:rsidR="00FC42BD" w:rsidRDefault="00FC4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EC6D" w14:textId="77777777" w:rsidR="00B52213" w:rsidRDefault="00B52213">
      <w:pPr>
        <w:pStyle w:val="NoSpacing"/>
      </w:pPr>
      <w:r>
        <w:separator/>
      </w:r>
    </w:p>
  </w:footnote>
  <w:footnote w:type="continuationSeparator" w:id="0">
    <w:p w14:paraId="4F7E95FB" w14:textId="77777777" w:rsidR="00B52213" w:rsidRDefault="00B52213">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AD9B" w14:textId="77777777" w:rsidR="00FC42BD" w:rsidRDefault="00FC4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062E" w14:textId="77777777" w:rsidR="00FC42BD" w:rsidRDefault="00FC4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CF33" w14:textId="77777777" w:rsidR="00FC42BD" w:rsidRDefault="00FC4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53"/>
    <w:multiLevelType w:val="hybridMultilevel"/>
    <w:tmpl w:val="B00E8F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E5622E9"/>
    <w:multiLevelType w:val="multilevel"/>
    <w:tmpl w:val="1A58E2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03200"/>
    <w:multiLevelType w:val="multilevel"/>
    <w:tmpl w:val="EB083F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3CF1BEC"/>
    <w:multiLevelType w:val="multilevel"/>
    <w:tmpl w:val="E0F0E272"/>
    <w:lvl w:ilvl="0">
      <w:start w:val="10"/>
      <w:numFmt w:val="decimal"/>
      <w:lvlText w:val="%1"/>
      <w:lvlJc w:val="left"/>
      <w:pPr>
        <w:ind w:left="468" w:hanging="468"/>
      </w:pPr>
      <w:rPr>
        <w:rFonts w:hint="default"/>
      </w:rPr>
    </w:lvl>
    <w:lvl w:ilvl="1">
      <w:start w:val="1"/>
      <w:numFmt w:val="decimal"/>
      <w:lvlText w:val="%1.%2"/>
      <w:lvlJc w:val="left"/>
      <w:pPr>
        <w:ind w:left="2312"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C1312"/>
    <w:multiLevelType w:val="hybridMultilevel"/>
    <w:tmpl w:val="F9D06A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E12F72"/>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198B1FFF"/>
    <w:multiLevelType w:val="multilevel"/>
    <w:tmpl w:val="5476C4FC"/>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9A34AFE"/>
    <w:multiLevelType w:val="hybridMultilevel"/>
    <w:tmpl w:val="6CCAFBAA"/>
    <w:lvl w:ilvl="0" w:tplc="625E478C">
      <w:start w:val="1"/>
      <w:numFmt w:val="bullet"/>
      <w:lvlText w:val="•"/>
      <w:lvlJc w:val="left"/>
      <w:pPr>
        <w:tabs>
          <w:tab w:val="num" w:pos="720"/>
        </w:tabs>
        <w:ind w:left="720" w:hanging="360"/>
      </w:pPr>
      <w:rPr>
        <w:rFonts w:ascii="Arial" w:hAnsi="Arial" w:hint="default"/>
      </w:rPr>
    </w:lvl>
    <w:lvl w:ilvl="1" w:tplc="5B7C2098" w:tentative="1">
      <w:start w:val="1"/>
      <w:numFmt w:val="bullet"/>
      <w:lvlText w:val="•"/>
      <w:lvlJc w:val="left"/>
      <w:pPr>
        <w:tabs>
          <w:tab w:val="num" w:pos="1440"/>
        </w:tabs>
        <w:ind w:left="1440" w:hanging="360"/>
      </w:pPr>
      <w:rPr>
        <w:rFonts w:ascii="Arial" w:hAnsi="Arial" w:hint="default"/>
      </w:rPr>
    </w:lvl>
    <w:lvl w:ilvl="2" w:tplc="E3001FD6" w:tentative="1">
      <w:start w:val="1"/>
      <w:numFmt w:val="bullet"/>
      <w:lvlText w:val="•"/>
      <w:lvlJc w:val="left"/>
      <w:pPr>
        <w:tabs>
          <w:tab w:val="num" w:pos="2160"/>
        </w:tabs>
        <w:ind w:left="2160" w:hanging="360"/>
      </w:pPr>
      <w:rPr>
        <w:rFonts w:ascii="Arial" w:hAnsi="Arial" w:hint="default"/>
      </w:rPr>
    </w:lvl>
    <w:lvl w:ilvl="3" w:tplc="9E60352E" w:tentative="1">
      <w:start w:val="1"/>
      <w:numFmt w:val="bullet"/>
      <w:lvlText w:val="•"/>
      <w:lvlJc w:val="left"/>
      <w:pPr>
        <w:tabs>
          <w:tab w:val="num" w:pos="2880"/>
        </w:tabs>
        <w:ind w:left="2880" w:hanging="360"/>
      </w:pPr>
      <w:rPr>
        <w:rFonts w:ascii="Arial" w:hAnsi="Arial" w:hint="default"/>
      </w:rPr>
    </w:lvl>
    <w:lvl w:ilvl="4" w:tplc="7AE62C62" w:tentative="1">
      <w:start w:val="1"/>
      <w:numFmt w:val="bullet"/>
      <w:lvlText w:val="•"/>
      <w:lvlJc w:val="left"/>
      <w:pPr>
        <w:tabs>
          <w:tab w:val="num" w:pos="3600"/>
        </w:tabs>
        <w:ind w:left="3600" w:hanging="360"/>
      </w:pPr>
      <w:rPr>
        <w:rFonts w:ascii="Arial" w:hAnsi="Arial" w:hint="default"/>
      </w:rPr>
    </w:lvl>
    <w:lvl w:ilvl="5" w:tplc="115EA6B2" w:tentative="1">
      <w:start w:val="1"/>
      <w:numFmt w:val="bullet"/>
      <w:lvlText w:val="•"/>
      <w:lvlJc w:val="left"/>
      <w:pPr>
        <w:tabs>
          <w:tab w:val="num" w:pos="4320"/>
        </w:tabs>
        <w:ind w:left="4320" w:hanging="360"/>
      </w:pPr>
      <w:rPr>
        <w:rFonts w:ascii="Arial" w:hAnsi="Arial" w:hint="default"/>
      </w:rPr>
    </w:lvl>
    <w:lvl w:ilvl="6" w:tplc="6D9A434A" w:tentative="1">
      <w:start w:val="1"/>
      <w:numFmt w:val="bullet"/>
      <w:lvlText w:val="•"/>
      <w:lvlJc w:val="left"/>
      <w:pPr>
        <w:tabs>
          <w:tab w:val="num" w:pos="5040"/>
        </w:tabs>
        <w:ind w:left="5040" w:hanging="360"/>
      </w:pPr>
      <w:rPr>
        <w:rFonts w:ascii="Arial" w:hAnsi="Arial" w:hint="default"/>
      </w:rPr>
    </w:lvl>
    <w:lvl w:ilvl="7" w:tplc="C08A08AA" w:tentative="1">
      <w:start w:val="1"/>
      <w:numFmt w:val="bullet"/>
      <w:lvlText w:val="•"/>
      <w:lvlJc w:val="left"/>
      <w:pPr>
        <w:tabs>
          <w:tab w:val="num" w:pos="5760"/>
        </w:tabs>
        <w:ind w:left="5760" w:hanging="360"/>
      </w:pPr>
      <w:rPr>
        <w:rFonts w:ascii="Arial" w:hAnsi="Arial" w:hint="default"/>
      </w:rPr>
    </w:lvl>
    <w:lvl w:ilvl="8" w:tplc="D85A80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4A67B7"/>
    <w:multiLevelType w:val="hybridMultilevel"/>
    <w:tmpl w:val="78724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107042"/>
    <w:multiLevelType w:val="hybridMultilevel"/>
    <w:tmpl w:val="D5829B0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21C652DD"/>
    <w:multiLevelType w:val="multilevel"/>
    <w:tmpl w:val="76425C9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372A55"/>
    <w:multiLevelType w:val="hybridMultilevel"/>
    <w:tmpl w:val="5FF2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26835"/>
    <w:multiLevelType w:val="multilevel"/>
    <w:tmpl w:val="FFC01324"/>
    <w:lvl w:ilvl="0">
      <w:start w:val="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0"/>
        </w:tabs>
        <w:ind w:hanging="6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860"/>
        </w:tabs>
        <w:ind w:left="-186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820"/>
        </w:tabs>
        <w:ind w:left="-282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13" w15:restartNumberingAfterBreak="0">
    <w:nsid w:val="250C047D"/>
    <w:multiLevelType w:val="hybridMultilevel"/>
    <w:tmpl w:val="1E4EDC0A"/>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53469A3"/>
    <w:multiLevelType w:val="hybridMultilevel"/>
    <w:tmpl w:val="2FECC20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EB8762E"/>
    <w:multiLevelType w:val="hybridMultilevel"/>
    <w:tmpl w:val="2D12871E"/>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8F00BA4"/>
    <w:multiLevelType w:val="hybridMultilevel"/>
    <w:tmpl w:val="98A6A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054F5E"/>
    <w:multiLevelType w:val="multilevel"/>
    <w:tmpl w:val="639257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900E40"/>
    <w:multiLevelType w:val="hybridMultilevel"/>
    <w:tmpl w:val="A8987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767CC6"/>
    <w:multiLevelType w:val="multilevel"/>
    <w:tmpl w:val="2AE04472"/>
    <w:lvl w:ilvl="0">
      <w:start w:val="4"/>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A33AB"/>
    <w:multiLevelType w:val="hybridMultilevel"/>
    <w:tmpl w:val="BF6C32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FD61AF9"/>
    <w:multiLevelType w:val="hybridMultilevel"/>
    <w:tmpl w:val="03AC1F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9AA1871"/>
    <w:multiLevelType w:val="hybridMultilevel"/>
    <w:tmpl w:val="D4C4DBE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5A40023B"/>
    <w:multiLevelType w:val="multilevel"/>
    <w:tmpl w:val="F96E7CD0"/>
    <w:lvl w:ilvl="0">
      <w:start w:val="5"/>
      <w:numFmt w:val="decimal"/>
      <w:lvlText w:val="%1"/>
      <w:lvlJc w:val="left"/>
      <w:pPr>
        <w:ind w:left="786" w:hanging="360"/>
      </w:pPr>
      <w:rPr>
        <w:rFonts w:hint="default"/>
      </w:rPr>
    </w:lvl>
    <w:lvl w:ilvl="1">
      <w:start w:val="1"/>
      <w:numFmt w:val="decimal"/>
      <w:isLgl/>
      <w:lvlText w:val="%1.%2"/>
      <w:lvlJc w:val="left"/>
      <w:pPr>
        <w:ind w:left="786" w:hanging="360"/>
      </w:pPr>
      <w:rPr>
        <w:rFonts w:ascii="Arial" w:hAnsi="Arial" w:cs="Arial" w:hint="default"/>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5BEF2871"/>
    <w:multiLevelType w:val="hybridMultilevel"/>
    <w:tmpl w:val="51105B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4D17820"/>
    <w:multiLevelType w:val="multilevel"/>
    <w:tmpl w:val="4A08ADA8"/>
    <w:lvl w:ilvl="0">
      <w:start w:val="4"/>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78642B"/>
    <w:multiLevelType w:val="hybridMultilevel"/>
    <w:tmpl w:val="0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40BD0"/>
    <w:multiLevelType w:val="hybridMultilevel"/>
    <w:tmpl w:val="B1D011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50E76A7"/>
    <w:multiLevelType w:val="hybridMultilevel"/>
    <w:tmpl w:val="4D6A65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597BEE"/>
    <w:multiLevelType w:val="hybridMultilevel"/>
    <w:tmpl w:val="511274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B64B3C"/>
    <w:multiLevelType w:val="hybridMultilevel"/>
    <w:tmpl w:val="FD348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88E3770"/>
    <w:multiLevelType w:val="multilevel"/>
    <w:tmpl w:val="DDC8C4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545022"/>
    <w:multiLevelType w:val="multilevel"/>
    <w:tmpl w:val="E79261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E56463"/>
    <w:multiLevelType w:val="hybridMultilevel"/>
    <w:tmpl w:val="DE6091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D504B18"/>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5" w15:restartNumberingAfterBreak="0">
    <w:nsid w:val="7F7E59D5"/>
    <w:multiLevelType w:val="hybridMultilevel"/>
    <w:tmpl w:val="16AE87EC"/>
    <w:lvl w:ilvl="0" w:tplc="08090001">
      <w:start w:val="1"/>
      <w:numFmt w:val="bullet"/>
      <w:lvlText w:val=""/>
      <w:lvlJc w:val="left"/>
      <w:pPr>
        <w:ind w:left="1440" w:hanging="360"/>
      </w:pPr>
      <w:rPr>
        <w:rFonts w:ascii="Symbol" w:hAnsi="Symbol" w:hint="default"/>
      </w:rPr>
    </w:lvl>
    <w:lvl w:ilvl="1" w:tplc="C2583E6A">
      <w:numFmt w:val="bullet"/>
      <w:lvlText w:val="•"/>
      <w:lvlJc w:val="left"/>
      <w:pPr>
        <w:ind w:left="2520" w:hanging="720"/>
      </w:pPr>
      <w:rPr>
        <w:rFonts w:ascii="Arial" w:eastAsia="Calibr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26"/>
  </w:num>
  <w:num w:numId="3">
    <w:abstractNumId w:val="4"/>
  </w:num>
  <w:num w:numId="4">
    <w:abstractNumId w:val="15"/>
  </w:num>
  <w:num w:numId="5">
    <w:abstractNumId w:val="22"/>
  </w:num>
  <w:num w:numId="6">
    <w:abstractNumId w:val="14"/>
  </w:num>
  <w:num w:numId="7">
    <w:abstractNumId w:val="5"/>
  </w:num>
  <w:num w:numId="8">
    <w:abstractNumId w:val="2"/>
  </w:num>
  <w:num w:numId="9">
    <w:abstractNumId w:val="6"/>
  </w:num>
  <w:num w:numId="10">
    <w:abstractNumId w:val="12"/>
  </w:num>
  <w:num w:numId="11">
    <w:abstractNumId w:val="34"/>
  </w:num>
  <w:num w:numId="12">
    <w:abstractNumId w:val="13"/>
  </w:num>
  <w:num w:numId="13">
    <w:abstractNumId w:val="28"/>
  </w:num>
  <w:num w:numId="14">
    <w:abstractNumId w:val="18"/>
  </w:num>
  <w:num w:numId="15">
    <w:abstractNumId w:val="19"/>
  </w:num>
  <w:num w:numId="16">
    <w:abstractNumId w:val="25"/>
  </w:num>
  <w:num w:numId="17">
    <w:abstractNumId w:val="16"/>
  </w:num>
  <w:num w:numId="18">
    <w:abstractNumId w:val="8"/>
  </w:num>
  <w:num w:numId="19">
    <w:abstractNumId w:val="29"/>
  </w:num>
  <w:num w:numId="20">
    <w:abstractNumId w:val="23"/>
  </w:num>
  <w:num w:numId="21">
    <w:abstractNumId w:val="17"/>
  </w:num>
  <w:num w:numId="22">
    <w:abstractNumId w:val="32"/>
  </w:num>
  <w:num w:numId="23">
    <w:abstractNumId w:val="1"/>
  </w:num>
  <w:num w:numId="24">
    <w:abstractNumId w:val="31"/>
  </w:num>
  <w:num w:numId="25">
    <w:abstractNumId w:val="3"/>
  </w:num>
  <w:num w:numId="26">
    <w:abstractNumId w:val="9"/>
  </w:num>
  <w:num w:numId="27">
    <w:abstractNumId w:val="30"/>
  </w:num>
  <w:num w:numId="28">
    <w:abstractNumId w:val="10"/>
  </w:num>
  <w:num w:numId="29">
    <w:abstractNumId w:val="33"/>
  </w:num>
  <w:num w:numId="30">
    <w:abstractNumId w:val="27"/>
  </w:num>
  <w:num w:numId="31">
    <w:abstractNumId w:val="11"/>
  </w:num>
  <w:num w:numId="32">
    <w:abstractNumId w:val="0"/>
  </w:num>
  <w:num w:numId="33">
    <w:abstractNumId w:val="20"/>
  </w:num>
  <w:num w:numId="34">
    <w:abstractNumId w:val="35"/>
  </w:num>
  <w:num w:numId="35">
    <w:abstractNumId w:val="2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45"/>
    <w:rsid w:val="00000AE9"/>
    <w:rsid w:val="00005599"/>
    <w:rsid w:val="00012A3E"/>
    <w:rsid w:val="00012B60"/>
    <w:rsid w:val="000204AA"/>
    <w:rsid w:val="00021238"/>
    <w:rsid w:val="00021867"/>
    <w:rsid w:val="0003032C"/>
    <w:rsid w:val="000316C7"/>
    <w:rsid w:val="00035338"/>
    <w:rsid w:val="00043845"/>
    <w:rsid w:val="00043BAB"/>
    <w:rsid w:val="00043C17"/>
    <w:rsid w:val="000452A1"/>
    <w:rsid w:val="000464C6"/>
    <w:rsid w:val="00050A55"/>
    <w:rsid w:val="00054332"/>
    <w:rsid w:val="000615ED"/>
    <w:rsid w:val="00067F8A"/>
    <w:rsid w:val="00073297"/>
    <w:rsid w:val="00074857"/>
    <w:rsid w:val="00075866"/>
    <w:rsid w:val="00075A3C"/>
    <w:rsid w:val="00076D8B"/>
    <w:rsid w:val="0007743A"/>
    <w:rsid w:val="000833B6"/>
    <w:rsid w:val="00083B58"/>
    <w:rsid w:val="000864FB"/>
    <w:rsid w:val="00086A7F"/>
    <w:rsid w:val="00087B0E"/>
    <w:rsid w:val="000912E3"/>
    <w:rsid w:val="00094BCB"/>
    <w:rsid w:val="00096F86"/>
    <w:rsid w:val="000A01AB"/>
    <w:rsid w:val="000A098F"/>
    <w:rsid w:val="000B28E6"/>
    <w:rsid w:val="000B4DDF"/>
    <w:rsid w:val="000B519E"/>
    <w:rsid w:val="000C1839"/>
    <w:rsid w:val="000C3474"/>
    <w:rsid w:val="000C3BE9"/>
    <w:rsid w:val="000C4E73"/>
    <w:rsid w:val="000C6620"/>
    <w:rsid w:val="000D0623"/>
    <w:rsid w:val="000D13C8"/>
    <w:rsid w:val="000D5ADB"/>
    <w:rsid w:val="000E3E18"/>
    <w:rsid w:val="000F1322"/>
    <w:rsid w:val="000F1AD8"/>
    <w:rsid w:val="000F5399"/>
    <w:rsid w:val="000F60B8"/>
    <w:rsid w:val="000F7908"/>
    <w:rsid w:val="00101883"/>
    <w:rsid w:val="00103AFD"/>
    <w:rsid w:val="00110B64"/>
    <w:rsid w:val="00110C5A"/>
    <w:rsid w:val="00114B86"/>
    <w:rsid w:val="00120348"/>
    <w:rsid w:val="00121FD2"/>
    <w:rsid w:val="0012501A"/>
    <w:rsid w:val="00127F05"/>
    <w:rsid w:val="00131649"/>
    <w:rsid w:val="00132755"/>
    <w:rsid w:val="00134ADB"/>
    <w:rsid w:val="0014017C"/>
    <w:rsid w:val="00141AC8"/>
    <w:rsid w:val="00142824"/>
    <w:rsid w:val="001536D7"/>
    <w:rsid w:val="00155AA0"/>
    <w:rsid w:val="001569DD"/>
    <w:rsid w:val="001608F7"/>
    <w:rsid w:val="00166B26"/>
    <w:rsid w:val="00171981"/>
    <w:rsid w:val="00173B93"/>
    <w:rsid w:val="0017747F"/>
    <w:rsid w:val="00181E0A"/>
    <w:rsid w:val="001873E4"/>
    <w:rsid w:val="00187E76"/>
    <w:rsid w:val="00190345"/>
    <w:rsid w:val="00190704"/>
    <w:rsid w:val="00191F7D"/>
    <w:rsid w:val="00196312"/>
    <w:rsid w:val="00196534"/>
    <w:rsid w:val="00196A99"/>
    <w:rsid w:val="001A0CD4"/>
    <w:rsid w:val="001A1C4E"/>
    <w:rsid w:val="001A3F5A"/>
    <w:rsid w:val="001A60E6"/>
    <w:rsid w:val="001A63BD"/>
    <w:rsid w:val="001A7724"/>
    <w:rsid w:val="001B065B"/>
    <w:rsid w:val="001B0FA3"/>
    <w:rsid w:val="001B555B"/>
    <w:rsid w:val="001C0CB7"/>
    <w:rsid w:val="001C0E0D"/>
    <w:rsid w:val="001C0F67"/>
    <w:rsid w:val="001C3296"/>
    <w:rsid w:val="001C3931"/>
    <w:rsid w:val="001C5E68"/>
    <w:rsid w:val="001C72D6"/>
    <w:rsid w:val="001D3884"/>
    <w:rsid w:val="001E4EE9"/>
    <w:rsid w:val="001F2302"/>
    <w:rsid w:val="00202512"/>
    <w:rsid w:val="00202D12"/>
    <w:rsid w:val="002035CE"/>
    <w:rsid w:val="00211B7F"/>
    <w:rsid w:val="0021718B"/>
    <w:rsid w:val="0022285C"/>
    <w:rsid w:val="00222D7A"/>
    <w:rsid w:val="002241E7"/>
    <w:rsid w:val="00224F4B"/>
    <w:rsid w:val="002345A1"/>
    <w:rsid w:val="00241078"/>
    <w:rsid w:val="00241155"/>
    <w:rsid w:val="0024431C"/>
    <w:rsid w:val="002459FF"/>
    <w:rsid w:val="002506F9"/>
    <w:rsid w:val="00251028"/>
    <w:rsid w:val="00251522"/>
    <w:rsid w:val="0025311E"/>
    <w:rsid w:val="00253143"/>
    <w:rsid w:val="0025331C"/>
    <w:rsid w:val="00262D35"/>
    <w:rsid w:val="00263A5B"/>
    <w:rsid w:val="00263F51"/>
    <w:rsid w:val="002641DD"/>
    <w:rsid w:val="00265DA4"/>
    <w:rsid w:val="002664C7"/>
    <w:rsid w:val="00271B11"/>
    <w:rsid w:val="0027202A"/>
    <w:rsid w:val="00275393"/>
    <w:rsid w:val="00277D3B"/>
    <w:rsid w:val="00277E3E"/>
    <w:rsid w:val="0028078C"/>
    <w:rsid w:val="00286A47"/>
    <w:rsid w:val="002925B1"/>
    <w:rsid w:val="00293C58"/>
    <w:rsid w:val="002A5681"/>
    <w:rsid w:val="002B438F"/>
    <w:rsid w:val="002B469D"/>
    <w:rsid w:val="002B4A8D"/>
    <w:rsid w:val="002C0D4C"/>
    <w:rsid w:val="002C3D0C"/>
    <w:rsid w:val="002D0ABD"/>
    <w:rsid w:val="002D2157"/>
    <w:rsid w:val="002D59EB"/>
    <w:rsid w:val="002D7104"/>
    <w:rsid w:val="002E24F2"/>
    <w:rsid w:val="002E62E7"/>
    <w:rsid w:val="002F04F9"/>
    <w:rsid w:val="002F192D"/>
    <w:rsid w:val="002F1E7C"/>
    <w:rsid w:val="002F2575"/>
    <w:rsid w:val="002F78D7"/>
    <w:rsid w:val="003019FC"/>
    <w:rsid w:val="003045CE"/>
    <w:rsid w:val="00306790"/>
    <w:rsid w:val="00306CF8"/>
    <w:rsid w:val="00307A4C"/>
    <w:rsid w:val="00310D66"/>
    <w:rsid w:val="00311CCE"/>
    <w:rsid w:val="00312D16"/>
    <w:rsid w:val="00314E04"/>
    <w:rsid w:val="0031602B"/>
    <w:rsid w:val="00326975"/>
    <w:rsid w:val="0032740D"/>
    <w:rsid w:val="0033156A"/>
    <w:rsid w:val="0034091A"/>
    <w:rsid w:val="00341C61"/>
    <w:rsid w:val="00345829"/>
    <w:rsid w:val="00346B15"/>
    <w:rsid w:val="00353CDA"/>
    <w:rsid w:val="00354151"/>
    <w:rsid w:val="0035694B"/>
    <w:rsid w:val="00361216"/>
    <w:rsid w:val="003672DA"/>
    <w:rsid w:val="00381324"/>
    <w:rsid w:val="00382CF8"/>
    <w:rsid w:val="003839E7"/>
    <w:rsid w:val="00387450"/>
    <w:rsid w:val="0039341C"/>
    <w:rsid w:val="00397B0A"/>
    <w:rsid w:val="003A3397"/>
    <w:rsid w:val="003A4950"/>
    <w:rsid w:val="003A4E2F"/>
    <w:rsid w:val="003A7D09"/>
    <w:rsid w:val="003B1383"/>
    <w:rsid w:val="003B1C67"/>
    <w:rsid w:val="003B4051"/>
    <w:rsid w:val="003B46C1"/>
    <w:rsid w:val="003D6270"/>
    <w:rsid w:val="003E17E4"/>
    <w:rsid w:val="003E190C"/>
    <w:rsid w:val="003E5A08"/>
    <w:rsid w:val="003E5F54"/>
    <w:rsid w:val="003F0487"/>
    <w:rsid w:val="003F2C36"/>
    <w:rsid w:val="003F5213"/>
    <w:rsid w:val="00411CCC"/>
    <w:rsid w:val="0041265B"/>
    <w:rsid w:val="00412F4D"/>
    <w:rsid w:val="004157FC"/>
    <w:rsid w:val="00415F6A"/>
    <w:rsid w:val="00416414"/>
    <w:rsid w:val="004166EE"/>
    <w:rsid w:val="00416A26"/>
    <w:rsid w:val="00417678"/>
    <w:rsid w:val="004235E1"/>
    <w:rsid w:val="0042518E"/>
    <w:rsid w:val="00427202"/>
    <w:rsid w:val="00427795"/>
    <w:rsid w:val="00431683"/>
    <w:rsid w:val="004321D1"/>
    <w:rsid w:val="00433092"/>
    <w:rsid w:val="00434D19"/>
    <w:rsid w:val="00436C1D"/>
    <w:rsid w:val="004423F2"/>
    <w:rsid w:val="0044503B"/>
    <w:rsid w:val="004456C9"/>
    <w:rsid w:val="00451E3E"/>
    <w:rsid w:val="004549D4"/>
    <w:rsid w:val="00454B8E"/>
    <w:rsid w:val="00455C3E"/>
    <w:rsid w:val="00456BF2"/>
    <w:rsid w:val="0045755E"/>
    <w:rsid w:val="00461452"/>
    <w:rsid w:val="004636DD"/>
    <w:rsid w:val="00464C9D"/>
    <w:rsid w:val="0046561D"/>
    <w:rsid w:val="00467433"/>
    <w:rsid w:val="004717DF"/>
    <w:rsid w:val="00475843"/>
    <w:rsid w:val="00481C3F"/>
    <w:rsid w:val="0048261C"/>
    <w:rsid w:val="004842DE"/>
    <w:rsid w:val="00486F28"/>
    <w:rsid w:val="004877FD"/>
    <w:rsid w:val="00493DB5"/>
    <w:rsid w:val="004A3905"/>
    <w:rsid w:val="004A397B"/>
    <w:rsid w:val="004A3A91"/>
    <w:rsid w:val="004A3AB8"/>
    <w:rsid w:val="004B2D09"/>
    <w:rsid w:val="004C579C"/>
    <w:rsid w:val="004D01A6"/>
    <w:rsid w:val="004D3483"/>
    <w:rsid w:val="004D5F95"/>
    <w:rsid w:val="004E0B1F"/>
    <w:rsid w:val="004E2A99"/>
    <w:rsid w:val="004E2B73"/>
    <w:rsid w:val="004E5472"/>
    <w:rsid w:val="004F51AC"/>
    <w:rsid w:val="004F682C"/>
    <w:rsid w:val="004F7AAB"/>
    <w:rsid w:val="004F7DD1"/>
    <w:rsid w:val="0050045B"/>
    <w:rsid w:val="005013A4"/>
    <w:rsid w:val="00506A40"/>
    <w:rsid w:val="00506F2C"/>
    <w:rsid w:val="00514CE7"/>
    <w:rsid w:val="00514E09"/>
    <w:rsid w:val="00521AFA"/>
    <w:rsid w:val="00521BB9"/>
    <w:rsid w:val="00521C89"/>
    <w:rsid w:val="00530532"/>
    <w:rsid w:val="00530FB5"/>
    <w:rsid w:val="0053202D"/>
    <w:rsid w:val="00532651"/>
    <w:rsid w:val="005349E7"/>
    <w:rsid w:val="005357EC"/>
    <w:rsid w:val="00545026"/>
    <w:rsid w:val="0054538F"/>
    <w:rsid w:val="00547D5C"/>
    <w:rsid w:val="00552B42"/>
    <w:rsid w:val="00556D1C"/>
    <w:rsid w:val="00556D20"/>
    <w:rsid w:val="005607BA"/>
    <w:rsid w:val="00560D87"/>
    <w:rsid w:val="00567C04"/>
    <w:rsid w:val="00573188"/>
    <w:rsid w:val="00573502"/>
    <w:rsid w:val="005747C5"/>
    <w:rsid w:val="0058075D"/>
    <w:rsid w:val="0058106A"/>
    <w:rsid w:val="00582BE1"/>
    <w:rsid w:val="005A13A6"/>
    <w:rsid w:val="005A4AEE"/>
    <w:rsid w:val="005A6B1F"/>
    <w:rsid w:val="005B0D71"/>
    <w:rsid w:val="005B1383"/>
    <w:rsid w:val="005B3831"/>
    <w:rsid w:val="005B410D"/>
    <w:rsid w:val="005B5FD8"/>
    <w:rsid w:val="005C180F"/>
    <w:rsid w:val="005C5AD5"/>
    <w:rsid w:val="005D07F1"/>
    <w:rsid w:val="005D0B54"/>
    <w:rsid w:val="005D1651"/>
    <w:rsid w:val="005D2339"/>
    <w:rsid w:val="005D4E54"/>
    <w:rsid w:val="005E0B41"/>
    <w:rsid w:val="005E1DE8"/>
    <w:rsid w:val="005E32B1"/>
    <w:rsid w:val="005E5D15"/>
    <w:rsid w:val="005E5E22"/>
    <w:rsid w:val="005E6561"/>
    <w:rsid w:val="005F0C93"/>
    <w:rsid w:val="005F165B"/>
    <w:rsid w:val="005F2CDE"/>
    <w:rsid w:val="005F4136"/>
    <w:rsid w:val="00603020"/>
    <w:rsid w:val="0060343F"/>
    <w:rsid w:val="00604FED"/>
    <w:rsid w:val="00607673"/>
    <w:rsid w:val="006076B2"/>
    <w:rsid w:val="006107EF"/>
    <w:rsid w:val="00611463"/>
    <w:rsid w:val="0061162F"/>
    <w:rsid w:val="006167CC"/>
    <w:rsid w:val="006235A9"/>
    <w:rsid w:val="006308AC"/>
    <w:rsid w:val="00634D49"/>
    <w:rsid w:val="00636779"/>
    <w:rsid w:val="00651A0A"/>
    <w:rsid w:val="00651D84"/>
    <w:rsid w:val="00657FF1"/>
    <w:rsid w:val="00661DB7"/>
    <w:rsid w:val="00662BC6"/>
    <w:rsid w:val="00666012"/>
    <w:rsid w:val="0067460F"/>
    <w:rsid w:val="006802B9"/>
    <w:rsid w:val="00683C05"/>
    <w:rsid w:val="0068504A"/>
    <w:rsid w:val="00685B3B"/>
    <w:rsid w:val="0069013F"/>
    <w:rsid w:val="00692D0B"/>
    <w:rsid w:val="00694377"/>
    <w:rsid w:val="006974F3"/>
    <w:rsid w:val="00697A4E"/>
    <w:rsid w:val="006A2488"/>
    <w:rsid w:val="006A7D1F"/>
    <w:rsid w:val="006B6DC9"/>
    <w:rsid w:val="006B7DAA"/>
    <w:rsid w:val="006C1635"/>
    <w:rsid w:val="006C19D7"/>
    <w:rsid w:val="006C4B07"/>
    <w:rsid w:val="006C592C"/>
    <w:rsid w:val="006D0679"/>
    <w:rsid w:val="006D4F1A"/>
    <w:rsid w:val="006E5FA1"/>
    <w:rsid w:val="006F091A"/>
    <w:rsid w:val="006F3BC7"/>
    <w:rsid w:val="007003D2"/>
    <w:rsid w:val="00700967"/>
    <w:rsid w:val="0070188A"/>
    <w:rsid w:val="00702BB9"/>
    <w:rsid w:val="00710069"/>
    <w:rsid w:val="00710B70"/>
    <w:rsid w:val="0071443E"/>
    <w:rsid w:val="007144AC"/>
    <w:rsid w:val="00714AF4"/>
    <w:rsid w:val="00717D28"/>
    <w:rsid w:val="007228E9"/>
    <w:rsid w:val="00726282"/>
    <w:rsid w:val="007318A9"/>
    <w:rsid w:val="00741963"/>
    <w:rsid w:val="00744B01"/>
    <w:rsid w:val="00745944"/>
    <w:rsid w:val="00750BCF"/>
    <w:rsid w:val="0075526C"/>
    <w:rsid w:val="007553FD"/>
    <w:rsid w:val="0075550A"/>
    <w:rsid w:val="0075577A"/>
    <w:rsid w:val="00757500"/>
    <w:rsid w:val="00757A5E"/>
    <w:rsid w:val="00767030"/>
    <w:rsid w:val="00767BD3"/>
    <w:rsid w:val="00771F0F"/>
    <w:rsid w:val="00785FCE"/>
    <w:rsid w:val="00786BD7"/>
    <w:rsid w:val="0079290A"/>
    <w:rsid w:val="00794DA8"/>
    <w:rsid w:val="007A27AC"/>
    <w:rsid w:val="007A4B31"/>
    <w:rsid w:val="007A54FE"/>
    <w:rsid w:val="007B47B1"/>
    <w:rsid w:val="007B4840"/>
    <w:rsid w:val="007B4E26"/>
    <w:rsid w:val="007B7C9D"/>
    <w:rsid w:val="007C32E8"/>
    <w:rsid w:val="007C3330"/>
    <w:rsid w:val="007C6C30"/>
    <w:rsid w:val="007C78C4"/>
    <w:rsid w:val="007D1722"/>
    <w:rsid w:val="007D2FBD"/>
    <w:rsid w:val="007D5AB2"/>
    <w:rsid w:val="007D6620"/>
    <w:rsid w:val="007D6D36"/>
    <w:rsid w:val="007E2D90"/>
    <w:rsid w:val="007E3A43"/>
    <w:rsid w:val="007F433A"/>
    <w:rsid w:val="007F50FE"/>
    <w:rsid w:val="007F60FB"/>
    <w:rsid w:val="007F72A8"/>
    <w:rsid w:val="00800C17"/>
    <w:rsid w:val="00801A24"/>
    <w:rsid w:val="00802C43"/>
    <w:rsid w:val="00803B50"/>
    <w:rsid w:val="008063D8"/>
    <w:rsid w:val="00812C34"/>
    <w:rsid w:val="00813376"/>
    <w:rsid w:val="0081753F"/>
    <w:rsid w:val="008215ED"/>
    <w:rsid w:val="00822D01"/>
    <w:rsid w:val="00824B1B"/>
    <w:rsid w:val="00826D93"/>
    <w:rsid w:val="00827BE4"/>
    <w:rsid w:val="008303FB"/>
    <w:rsid w:val="00830863"/>
    <w:rsid w:val="00831270"/>
    <w:rsid w:val="008365B8"/>
    <w:rsid w:val="00841A1F"/>
    <w:rsid w:val="00844182"/>
    <w:rsid w:val="0084532E"/>
    <w:rsid w:val="00845909"/>
    <w:rsid w:val="00850E43"/>
    <w:rsid w:val="00852C26"/>
    <w:rsid w:val="00853CA4"/>
    <w:rsid w:val="00854904"/>
    <w:rsid w:val="00856F79"/>
    <w:rsid w:val="00857ED6"/>
    <w:rsid w:val="00857F99"/>
    <w:rsid w:val="00863701"/>
    <w:rsid w:val="00865150"/>
    <w:rsid w:val="00865BBF"/>
    <w:rsid w:val="00866B3B"/>
    <w:rsid w:val="00882B41"/>
    <w:rsid w:val="00882F8A"/>
    <w:rsid w:val="008855B5"/>
    <w:rsid w:val="008911F8"/>
    <w:rsid w:val="008917F6"/>
    <w:rsid w:val="008942A9"/>
    <w:rsid w:val="008A1D05"/>
    <w:rsid w:val="008A271A"/>
    <w:rsid w:val="008A5E84"/>
    <w:rsid w:val="008B2351"/>
    <w:rsid w:val="008B2875"/>
    <w:rsid w:val="008B37CA"/>
    <w:rsid w:val="008B482F"/>
    <w:rsid w:val="008B6ED1"/>
    <w:rsid w:val="008C15AA"/>
    <w:rsid w:val="008C3817"/>
    <w:rsid w:val="008E0E24"/>
    <w:rsid w:val="008E4DC6"/>
    <w:rsid w:val="008E6671"/>
    <w:rsid w:val="009017E1"/>
    <w:rsid w:val="00901E29"/>
    <w:rsid w:val="009026A1"/>
    <w:rsid w:val="0091064F"/>
    <w:rsid w:val="0091359D"/>
    <w:rsid w:val="00921811"/>
    <w:rsid w:val="00922B4A"/>
    <w:rsid w:val="0092452B"/>
    <w:rsid w:val="0092650D"/>
    <w:rsid w:val="0093040C"/>
    <w:rsid w:val="00932BE4"/>
    <w:rsid w:val="009362DE"/>
    <w:rsid w:val="00943B1D"/>
    <w:rsid w:val="00946CA7"/>
    <w:rsid w:val="00947714"/>
    <w:rsid w:val="009501BB"/>
    <w:rsid w:val="0095666C"/>
    <w:rsid w:val="0096159F"/>
    <w:rsid w:val="00963F8F"/>
    <w:rsid w:val="00964741"/>
    <w:rsid w:val="00964863"/>
    <w:rsid w:val="00964DA6"/>
    <w:rsid w:val="00964F39"/>
    <w:rsid w:val="009665F0"/>
    <w:rsid w:val="00970436"/>
    <w:rsid w:val="00972C27"/>
    <w:rsid w:val="009751CA"/>
    <w:rsid w:val="00975DE1"/>
    <w:rsid w:val="00976A3A"/>
    <w:rsid w:val="00983486"/>
    <w:rsid w:val="009837C3"/>
    <w:rsid w:val="00985EB5"/>
    <w:rsid w:val="009965F4"/>
    <w:rsid w:val="009A1099"/>
    <w:rsid w:val="009A1CAB"/>
    <w:rsid w:val="009B3748"/>
    <w:rsid w:val="009B61D7"/>
    <w:rsid w:val="009C12A2"/>
    <w:rsid w:val="009C6AE8"/>
    <w:rsid w:val="009C7224"/>
    <w:rsid w:val="009C73FB"/>
    <w:rsid w:val="009D2173"/>
    <w:rsid w:val="009D3252"/>
    <w:rsid w:val="009D3A7D"/>
    <w:rsid w:val="009D3DED"/>
    <w:rsid w:val="009E0966"/>
    <w:rsid w:val="009E3C60"/>
    <w:rsid w:val="009E7C48"/>
    <w:rsid w:val="00A0129D"/>
    <w:rsid w:val="00A0247F"/>
    <w:rsid w:val="00A02E2E"/>
    <w:rsid w:val="00A04201"/>
    <w:rsid w:val="00A04D12"/>
    <w:rsid w:val="00A0598E"/>
    <w:rsid w:val="00A05E4B"/>
    <w:rsid w:val="00A11524"/>
    <w:rsid w:val="00A203E0"/>
    <w:rsid w:val="00A20F2B"/>
    <w:rsid w:val="00A303CC"/>
    <w:rsid w:val="00A31D08"/>
    <w:rsid w:val="00A336B0"/>
    <w:rsid w:val="00A37C37"/>
    <w:rsid w:val="00A4103A"/>
    <w:rsid w:val="00A41F98"/>
    <w:rsid w:val="00A42205"/>
    <w:rsid w:val="00A45CAE"/>
    <w:rsid w:val="00A54B1C"/>
    <w:rsid w:val="00A7085E"/>
    <w:rsid w:val="00A72D74"/>
    <w:rsid w:val="00A736A4"/>
    <w:rsid w:val="00A77D31"/>
    <w:rsid w:val="00A871D8"/>
    <w:rsid w:val="00A92A9C"/>
    <w:rsid w:val="00A94E7A"/>
    <w:rsid w:val="00A94FF5"/>
    <w:rsid w:val="00AA3719"/>
    <w:rsid w:val="00AA4ECA"/>
    <w:rsid w:val="00AA6E5C"/>
    <w:rsid w:val="00AB177E"/>
    <w:rsid w:val="00AB21D7"/>
    <w:rsid w:val="00AC73B2"/>
    <w:rsid w:val="00AC7DDC"/>
    <w:rsid w:val="00AD29FC"/>
    <w:rsid w:val="00AD3442"/>
    <w:rsid w:val="00AD630F"/>
    <w:rsid w:val="00AD75D5"/>
    <w:rsid w:val="00AE5CFD"/>
    <w:rsid w:val="00AE7117"/>
    <w:rsid w:val="00AE7E74"/>
    <w:rsid w:val="00AF1ECD"/>
    <w:rsid w:val="00AF315A"/>
    <w:rsid w:val="00AF792E"/>
    <w:rsid w:val="00B01E43"/>
    <w:rsid w:val="00B05034"/>
    <w:rsid w:val="00B106AF"/>
    <w:rsid w:val="00B11A47"/>
    <w:rsid w:val="00B11E84"/>
    <w:rsid w:val="00B17E5B"/>
    <w:rsid w:val="00B257A1"/>
    <w:rsid w:val="00B36714"/>
    <w:rsid w:val="00B36C3F"/>
    <w:rsid w:val="00B3730C"/>
    <w:rsid w:val="00B4184F"/>
    <w:rsid w:val="00B41E70"/>
    <w:rsid w:val="00B52213"/>
    <w:rsid w:val="00B5315D"/>
    <w:rsid w:val="00B54187"/>
    <w:rsid w:val="00B553F1"/>
    <w:rsid w:val="00B62FDC"/>
    <w:rsid w:val="00B63D7F"/>
    <w:rsid w:val="00B63DF4"/>
    <w:rsid w:val="00B64200"/>
    <w:rsid w:val="00B64941"/>
    <w:rsid w:val="00B65745"/>
    <w:rsid w:val="00B67BF0"/>
    <w:rsid w:val="00B67C96"/>
    <w:rsid w:val="00B84350"/>
    <w:rsid w:val="00B91D6E"/>
    <w:rsid w:val="00B93937"/>
    <w:rsid w:val="00B93E4A"/>
    <w:rsid w:val="00B96FAF"/>
    <w:rsid w:val="00BA0118"/>
    <w:rsid w:val="00BB0356"/>
    <w:rsid w:val="00BB4EC2"/>
    <w:rsid w:val="00BB5E0F"/>
    <w:rsid w:val="00BC2B08"/>
    <w:rsid w:val="00BC514A"/>
    <w:rsid w:val="00BC5D5D"/>
    <w:rsid w:val="00BC62B6"/>
    <w:rsid w:val="00BE00C6"/>
    <w:rsid w:val="00BE15EF"/>
    <w:rsid w:val="00BE16F2"/>
    <w:rsid w:val="00BE6AAB"/>
    <w:rsid w:val="00BE6AD4"/>
    <w:rsid w:val="00C031BE"/>
    <w:rsid w:val="00C039EE"/>
    <w:rsid w:val="00C04B18"/>
    <w:rsid w:val="00C0529B"/>
    <w:rsid w:val="00C06FD3"/>
    <w:rsid w:val="00C1083E"/>
    <w:rsid w:val="00C14258"/>
    <w:rsid w:val="00C14385"/>
    <w:rsid w:val="00C15CD6"/>
    <w:rsid w:val="00C24C40"/>
    <w:rsid w:val="00C313EF"/>
    <w:rsid w:val="00C35AC7"/>
    <w:rsid w:val="00C36B2D"/>
    <w:rsid w:val="00C401FB"/>
    <w:rsid w:val="00C404D7"/>
    <w:rsid w:val="00C4463B"/>
    <w:rsid w:val="00C45998"/>
    <w:rsid w:val="00C527A6"/>
    <w:rsid w:val="00C52A77"/>
    <w:rsid w:val="00C52D17"/>
    <w:rsid w:val="00C553FA"/>
    <w:rsid w:val="00C843AA"/>
    <w:rsid w:val="00C85342"/>
    <w:rsid w:val="00C856B7"/>
    <w:rsid w:val="00C86205"/>
    <w:rsid w:val="00C86E8A"/>
    <w:rsid w:val="00C9247D"/>
    <w:rsid w:val="00C94A71"/>
    <w:rsid w:val="00C95B73"/>
    <w:rsid w:val="00CA0438"/>
    <w:rsid w:val="00CA28D9"/>
    <w:rsid w:val="00CA6214"/>
    <w:rsid w:val="00CA79F0"/>
    <w:rsid w:val="00CB0A1A"/>
    <w:rsid w:val="00CC0E8C"/>
    <w:rsid w:val="00CC2E2E"/>
    <w:rsid w:val="00CD5E63"/>
    <w:rsid w:val="00CE0611"/>
    <w:rsid w:val="00CE2189"/>
    <w:rsid w:val="00CF18AE"/>
    <w:rsid w:val="00CF1A43"/>
    <w:rsid w:val="00CF3BA7"/>
    <w:rsid w:val="00CF545E"/>
    <w:rsid w:val="00CF5671"/>
    <w:rsid w:val="00D00312"/>
    <w:rsid w:val="00D008D3"/>
    <w:rsid w:val="00D01802"/>
    <w:rsid w:val="00D021B5"/>
    <w:rsid w:val="00D03ABF"/>
    <w:rsid w:val="00D05BE3"/>
    <w:rsid w:val="00D127A7"/>
    <w:rsid w:val="00D15882"/>
    <w:rsid w:val="00D2092E"/>
    <w:rsid w:val="00D220A3"/>
    <w:rsid w:val="00D245CE"/>
    <w:rsid w:val="00D2713B"/>
    <w:rsid w:val="00D313C9"/>
    <w:rsid w:val="00D31572"/>
    <w:rsid w:val="00D34F24"/>
    <w:rsid w:val="00D34F68"/>
    <w:rsid w:val="00D45FA2"/>
    <w:rsid w:val="00D50D01"/>
    <w:rsid w:val="00D5569B"/>
    <w:rsid w:val="00D57BF9"/>
    <w:rsid w:val="00D61E5C"/>
    <w:rsid w:val="00D61E7D"/>
    <w:rsid w:val="00D76B6C"/>
    <w:rsid w:val="00D77026"/>
    <w:rsid w:val="00D816E4"/>
    <w:rsid w:val="00D82661"/>
    <w:rsid w:val="00D90704"/>
    <w:rsid w:val="00D959CD"/>
    <w:rsid w:val="00D96491"/>
    <w:rsid w:val="00D96784"/>
    <w:rsid w:val="00D978C8"/>
    <w:rsid w:val="00DA7C2C"/>
    <w:rsid w:val="00DB4B0E"/>
    <w:rsid w:val="00DB5375"/>
    <w:rsid w:val="00DC2BB4"/>
    <w:rsid w:val="00DC3485"/>
    <w:rsid w:val="00DC4FA5"/>
    <w:rsid w:val="00DE7360"/>
    <w:rsid w:val="00DF0CF5"/>
    <w:rsid w:val="00DF1E9C"/>
    <w:rsid w:val="00DF711E"/>
    <w:rsid w:val="00E0033D"/>
    <w:rsid w:val="00E05A5B"/>
    <w:rsid w:val="00E05B81"/>
    <w:rsid w:val="00E06053"/>
    <w:rsid w:val="00E13537"/>
    <w:rsid w:val="00E13C5E"/>
    <w:rsid w:val="00E21FB0"/>
    <w:rsid w:val="00E2753A"/>
    <w:rsid w:val="00E300AD"/>
    <w:rsid w:val="00E3386B"/>
    <w:rsid w:val="00E36FFE"/>
    <w:rsid w:val="00E375E7"/>
    <w:rsid w:val="00E402E5"/>
    <w:rsid w:val="00E4557F"/>
    <w:rsid w:val="00E466DE"/>
    <w:rsid w:val="00E50A0E"/>
    <w:rsid w:val="00E564B9"/>
    <w:rsid w:val="00E57B4A"/>
    <w:rsid w:val="00E700EC"/>
    <w:rsid w:val="00E71EFE"/>
    <w:rsid w:val="00E77035"/>
    <w:rsid w:val="00E770B4"/>
    <w:rsid w:val="00E842C2"/>
    <w:rsid w:val="00E87F72"/>
    <w:rsid w:val="00E90BB2"/>
    <w:rsid w:val="00E916E3"/>
    <w:rsid w:val="00E9288C"/>
    <w:rsid w:val="00E92A02"/>
    <w:rsid w:val="00E93DF6"/>
    <w:rsid w:val="00E94C31"/>
    <w:rsid w:val="00EA30AA"/>
    <w:rsid w:val="00EA7B15"/>
    <w:rsid w:val="00EB0AF7"/>
    <w:rsid w:val="00EB7B10"/>
    <w:rsid w:val="00EC21AA"/>
    <w:rsid w:val="00EC2297"/>
    <w:rsid w:val="00EC482C"/>
    <w:rsid w:val="00EC55F9"/>
    <w:rsid w:val="00EE3ECF"/>
    <w:rsid w:val="00EF0DBB"/>
    <w:rsid w:val="00EF1D3C"/>
    <w:rsid w:val="00EF4B3F"/>
    <w:rsid w:val="00F008FC"/>
    <w:rsid w:val="00F03D49"/>
    <w:rsid w:val="00F0723A"/>
    <w:rsid w:val="00F07615"/>
    <w:rsid w:val="00F149B8"/>
    <w:rsid w:val="00F165B9"/>
    <w:rsid w:val="00F21AD8"/>
    <w:rsid w:val="00F24271"/>
    <w:rsid w:val="00F30D74"/>
    <w:rsid w:val="00F33D79"/>
    <w:rsid w:val="00F41543"/>
    <w:rsid w:val="00F41D1C"/>
    <w:rsid w:val="00F43283"/>
    <w:rsid w:val="00F44844"/>
    <w:rsid w:val="00F4676E"/>
    <w:rsid w:val="00F513B5"/>
    <w:rsid w:val="00F5235F"/>
    <w:rsid w:val="00F55694"/>
    <w:rsid w:val="00F57C0A"/>
    <w:rsid w:val="00F624A0"/>
    <w:rsid w:val="00F677E8"/>
    <w:rsid w:val="00F67BF6"/>
    <w:rsid w:val="00F72010"/>
    <w:rsid w:val="00F8616A"/>
    <w:rsid w:val="00F91590"/>
    <w:rsid w:val="00FA05AB"/>
    <w:rsid w:val="00FA1EA5"/>
    <w:rsid w:val="00FA45E6"/>
    <w:rsid w:val="00FA7205"/>
    <w:rsid w:val="00FA7CE5"/>
    <w:rsid w:val="00FB3A1D"/>
    <w:rsid w:val="00FB4C0A"/>
    <w:rsid w:val="00FB570D"/>
    <w:rsid w:val="00FC42BD"/>
    <w:rsid w:val="00FD09FF"/>
    <w:rsid w:val="00FD4289"/>
    <w:rsid w:val="00FD43C0"/>
    <w:rsid w:val="00FD6427"/>
    <w:rsid w:val="00FE0E7B"/>
    <w:rsid w:val="00FE3168"/>
    <w:rsid w:val="00FE439B"/>
    <w:rsid w:val="00FE60A7"/>
    <w:rsid w:val="00FE6C25"/>
    <w:rsid w:val="00FF1C64"/>
    <w:rsid w:val="00FF2DD1"/>
    <w:rsid w:val="00FF6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603E5F"/>
  <w15:docId w15:val="{FE5277E6-F6F0-4BC7-8928-3BF8DE33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C2"/>
    <w:pPr>
      <w:spacing w:after="200" w:line="276" w:lineRule="auto"/>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0345"/>
    <w:pPr>
      <w:ind w:left="720"/>
      <w:contextualSpacing/>
    </w:pPr>
    <w:rPr>
      <w:rFonts w:ascii="Calibri" w:hAnsi="Calibri"/>
      <w:sz w:val="22"/>
    </w:rPr>
  </w:style>
  <w:style w:type="paragraph" w:styleId="NoSpacing">
    <w:name w:val="No Spacing"/>
    <w:uiPriority w:val="99"/>
    <w:qFormat/>
    <w:rsid w:val="00A94E7A"/>
    <w:rPr>
      <w:lang w:eastAsia="en-US"/>
    </w:rPr>
  </w:style>
  <w:style w:type="table" w:styleId="TableGrid">
    <w:name w:val="Table Grid"/>
    <w:basedOn w:val="TableNormal"/>
    <w:uiPriority w:val="99"/>
    <w:rsid w:val="0019653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B11A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06FD3"/>
    <w:rPr>
      <w:rFonts w:ascii="Times New Roman" w:hAnsi="Times New Roman" w:cs="Times New Roman"/>
      <w:sz w:val="2"/>
      <w:lang w:eastAsia="en-US"/>
    </w:rPr>
  </w:style>
  <w:style w:type="character" w:styleId="CommentReference">
    <w:name w:val="annotation reference"/>
    <w:basedOn w:val="DefaultParagraphFont"/>
    <w:uiPriority w:val="99"/>
    <w:semiHidden/>
    <w:rsid w:val="00B11A47"/>
    <w:rPr>
      <w:rFonts w:cs="Times New Roman"/>
      <w:sz w:val="16"/>
      <w:szCs w:val="16"/>
    </w:rPr>
  </w:style>
  <w:style w:type="paragraph" w:styleId="CommentText">
    <w:name w:val="annotation text"/>
    <w:basedOn w:val="Normal"/>
    <w:link w:val="CommentTextChar"/>
    <w:uiPriority w:val="99"/>
    <w:semiHidden/>
    <w:rsid w:val="00B11A47"/>
    <w:rPr>
      <w:sz w:val="20"/>
      <w:szCs w:val="20"/>
    </w:rPr>
  </w:style>
  <w:style w:type="character" w:customStyle="1" w:styleId="CommentTextChar">
    <w:name w:val="Comment Text Char"/>
    <w:basedOn w:val="DefaultParagraphFont"/>
    <w:link w:val="CommentText"/>
    <w:uiPriority w:val="99"/>
    <w:semiHidden/>
    <w:locked/>
    <w:rsid w:val="00C06FD3"/>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11A47"/>
    <w:rPr>
      <w:b/>
      <w:bCs/>
    </w:rPr>
  </w:style>
  <w:style w:type="character" w:customStyle="1" w:styleId="CommentSubjectChar">
    <w:name w:val="Comment Subject Char"/>
    <w:basedOn w:val="CommentTextChar"/>
    <w:link w:val="CommentSubject"/>
    <w:uiPriority w:val="99"/>
    <w:semiHidden/>
    <w:locked/>
    <w:rsid w:val="00C06FD3"/>
    <w:rPr>
      <w:rFonts w:ascii="Arial" w:hAnsi="Arial" w:cs="Times New Roman"/>
      <w:b/>
      <w:bCs/>
      <w:sz w:val="20"/>
      <w:szCs w:val="20"/>
      <w:lang w:eastAsia="en-US"/>
    </w:rPr>
  </w:style>
  <w:style w:type="paragraph" w:styleId="BalloonText">
    <w:name w:val="Balloon Text"/>
    <w:basedOn w:val="Normal"/>
    <w:link w:val="BalloonTextChar"/>
    <w:uiPriority w:val="99"/>
    <w:semiHidden/>
    <w:rsid w:val="00B11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6FD3"/>
    <w:rPr>
      <w:rFonts w:ascii="Times New Roman" w:hAnsi="Times New Roman" w:cs="Times New Roman"/>
      <w:sz w:val="2"/>
      <w:lang w:eastAsia="en-US"/>
    </w:rPr>
  </w:style>
  <w:style w:type="paragraph" w:styleId="Header">
    <w:name w:val="header"/>
    <w:basedOn w:val="Normal"/>
    <w:link w:val="HeaderChar"/>
    <w:uiPriority w:val="99"/>
    <w:rsid w:val="00B11A47"/>
    <w:pPr>
      <w:tabs>
        <w:tab w:val="center" w:pos="4153"/>
        <w:tab w:val="right" w:pos="8306"/>
      </w:tabs>
    </w:pPr>
  </w:style>
  <w:style w:type="character" w:customStyle="1" w:styleId="HeaderChar">
    <w:name w:val="Header Char"/>
    <w:basedOn w:val="DefaultParagraphFont"/>
    <w:link w:val="Header"/>
    <w:uiPriority w:val="99"/>
    <w:semiHidden/>
    <w:locked/>
    <w:rsid w:val="00C06FD3"/>
    <w:rPr>
      <w:rFonts w:ascii="Arial" w:hAnsi="Arial" w:cs="Times New Roman"/>
      <w:sz w:val="24"/>
      <w:lang w:eastAsia="en-US"/>
    </w:rPr>
  </w:style>
  <w:style w:type="paragraph" w:styleId="Footer">
    <w:name w:val="footer"/>
    <w:basedOn w:val="Normal"/>
    <w:link w:val="FooterChar"/>
    <w:uiPriority w:val="99"/>
    <w:rsid w:val="00B11A47"/>
    <w:pPr>
      <w:tabs>
        <w:tab w:val="center" w:pos="4153"/>
        <w:tab w:val="right" w:pos="8306"/>
      </w:tabs>
    </w:pPr>
  </w:style>
  <w:style w:type="character" w:customStyle="1" w:styleId="FooterChar">
    <w:name w:val="Footer Char"/>
    <w:basedOn w:val="DefaultParagraphFont"/>
    <w:link w:val="Footer"/>
    <w:uiPriority w:val="99"/>
    <w:locked/>
    <w:rsid w:val="00C06FD3"/>
    <w:rPr>
      <w:rFonts w:ascii="Arial" w:hAnsi="Arial" w:cs="Times New Roman"/>
      <w:sz w:val="24"/>
      <w:lang w:eastAsia="en-US"/>
    </w:rPr>
  </w:style>
  <w:style w:type="paragraph" w:styleId="NormalWeb">
    <w:name w:val="Normal (Web)"/>
    <w:basedOn w:val="Normal"/>
    <w:uiPriority w:val="99"/>
    <w:unhideWhenUsed/>
    <w:rsid w:val="004A3A91"/>
    <w:pPr>
      <w:spacing w:after="240" w:line="240" w:lineRule="auto"/>
    </w:pPr>
    <w:rPr>
      <w:rFonts w:ascii="Times New Roman" w:eastAsia="Times New Roman" w:hAnsi="Times New Roman"/>
      <w:szCs w:val="24"/>
      <w:lang w:eastAsia="en-GB"/>
    </w:rPr>
  </w:style>
  <w:style w:type="table" w:customStyle="1" w:styleId="TableGrid1">
    <w:name w:val="Table Grid1"/>
    <w:basedOn w:val="TableNormal"/>
    <w:next w:val="TableGrid"/>
    <w:uiPriority w:val="59"/>
    <w:rsid w:val="00A1152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FBD"/>
    <w:rPr>
      <w:color w:val="0000FF" w:themeColor="hyperlink"/>
      <w:u w:val="single"/>
    </w:rPr>
  </w:style>
  <w:style w:type="character" w:styleId="UnresolvedMention">
    <w:name w:val="Unresolved Mention"/>
    <w:basedOn w:val="DefaultParagraphFont"/>
    <w:uiPriority w:val="99"/>
    <w:semiHidden/>
    <w:unhideWhenUsed/>
    <w:rsid w:val="007D2FBD"/>
    <w:rPr>
      <w:color w:val="605E5C"/>
      <w:shd w:val="clear" w:color="auto" w:fill="E1DFDD"/>
    </w:rPr>
  </w:style>
  <w:style w:type="character" w:styleId="FollowedHyperlink">
    <w:name w:val="FollowedHyperlink"/>
    <w:basedOn w:val="DefaultParagraphFont"/>
    <w:uiPriority w:val="99"/>
    <w:semiHidden/>
    <w:unhideWhenUsed/>
    <w:rsid w:val="00A736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9075">
      <w:bodyDiv w:val="1"/>
      <w:marLeft w:val="0"/>
      <w:marRight w:val="0"/>
      <w:marTop w:val="0"/>
      <w:marBottom w:val="0"/>
      <w:divBdr>
        <w:top w:val="none" w:sz="0" w:space="0" w:color="auto"/>
        <w:left w:val="none" w:sz="0" w:space="0" w:color="auto"/>
        <w:bottom w:val="none" w:sz="0" w:space="0" w:color="auto"/>
        <w:right w:val="none" w:sz="0" w:space="0" w:color="auto"/>
      </w:divBdr>
    </w:div>
    <w:div w:id="56825371">
      <w:bodyDiv w:val="1"/>
      <w:marLeft w:val="0"/>
      <w:marRight w:val="0"/>
      <w:marTop w:val="0"/>
      <w:marBottom w:val="0"/>
      <w:divBdr>
        <w:top w:val="none" w:sz="0" w:space="0" w:color="auto"/>
        <w:left w:val="none" w:sz="0" w:space="0" w:color="auto"/>
        <w:bottom w:val="none" w:sz="0" w:space="0" w:color="auto"/>
        <w:right w:val="none" w:sz="0" w:space="0" w:color="auto"/>
      </w:divBdr>
      <w:divsChild>
        <w:div w:id="790780978">
          <w:marLeft w:val="446"/>
          <w:marRight w:val="0"/>
          <w:marTop w:val="0"/>
          <w:marBottom w:val="0"/>
          <w:divBdr>
            <w:top w:val="none" w:sz="0" w:space="0" w:color="auto"/>
            <w:left w:val="none" w:sz="0" w:space="0" w:color="auto"/>
            <w:bottom w:val="none" w:sz="0" w:space="0" w:color="auto"/>
            <w:right w:val="none" w:sz="0" w:space="0" w:color="auto"/>
          </w:divBdr>
        </w:div>
      </w:divsChild>
    </w:div>
    <w:div w:id="694427059">
      <w:bodyDiv w:val="1"/>
      <w:marLeft w:val="0"/>
      <w:marRight w:val="0"/>
      <w:marTop w:val="0"/>
      <w:marBottom w:val="0"/>
      <w:divBdr>
        <w:top w:val="none" w:sz="0" w:space="0" w:color="auto"/>
        <w:left w:val="none" w:sz="0" w:space="0" w:color="auto"/>
        <w:bottom w:val="none" w:sz="0" w:space="0" w:color="auto"/>
        <w:right w:val="none" w:sz="0" w:space="0" w:color="auto"/>
      </w:divBdr>
    </w:div>
    <w:div w:id="907880141">
      <w:bodyDiv w:val="1"/>
      <w:marLeft w:val="0"/>
      <w:marRight w:val="0"/>
      <w:marTop w:val="0"/>
      <w:marBottom w:val="0"/>
      <w:divBdr>
        <w:top w:val="none" w:sz="0" w:space="0" w:color="auto"/>
        <w:left w:val="none" w:sz="0" w:space="0" w:color="auto"/>
        <w:bottom w:val="none" w:sz="0" w:space="0" w:color="auto"/>
        <w:right w:val="none" w:sz="0" w:space="0" w:color="auto"/>
      </w:divBdr>
    </w:div>
    <w:div w:id="1220048616">
      <w:bodyDiv w:val="1"/>
      <w:marLeft w:val="0"/>
      <w:marRight w:val="0"/>
      <w:marTop w:val="0"/>
      <w:marBottom w:val="0"/>
      <w:divBdr>
        <w:top w:val="none" w:sz="0" w:space="0" w:color="auto"/>
        <w:left w:val="none" w:sz="0" w:space="0" w:color="auto"/>
        <w:bottom w:val="none" w:sz="0" w:space="0" w:color="auto"/>
        <w:right w:val="none" w:sz="0" w:space="0" w:color="auto"/>
      </w:divBdr>
      <w:divsChild>
        <w:div w:id="1393775470">
          <w:marLeft w:val="0"/>
          <w:marRight w:val="0"/>
          <w:marTop w:val="0"/>
          <w:marBottom w:val="0"/>
          <w:divBdr>
            <w:top w:val="none" w:sz="0" w:space="0" w:color="auto"/>
            <w:left w:val="none" w:sz="0" w:space="0" w:color="auto"/>
            <w:bottom w:val="none" w:sz="0" w:space="0" w:color="auto"/>
            <w:right w:val="none" w:sz="0" w:space="0" w:color="auto"/>
          </w:divBdr>
          <w:divsChild>
            <w:div w:id="659619995">
              <w:marLeft w:val="0"/>
              <w:marRight w:val="0"/>
              <w:marTop w:val="0"/>
              <w:marBottom w:val="0"/>
              <w:divBdr>
                <w:top w:val="none" w:sz="0" w:space="0" w:color="auto"/>
                <w:left w:val="none" w:sz="0" w:space="0" w:color="auto"/>
                <w:bottom w:val="none" w:sz="0" w:space="0" w:color="auto"/>
                <w:right w:val="none" w:sz="0" w:space="0" w:color="auto"/>
              </w:divBdr>
              <w:divsChild>
                <w:div w:id="902915107">
                  <w:marLeft w:val="30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24517782">
      <w:bodyDiv w:val="1"/>
      <w:marLeft w:val="0"/>
      <w:marRight w:val="0"/>
      <w:marTop w:val="0"/>
      <w:marBottom w:val="0"/>
      <w:divBdr>
        <w:top w:val="none" w:sz="0" w:space="0" w:color="auto"/>
        <w:left w:val="none" w:sz="0" w:space="0" w:color="auto"/>
        <w:bottom w:val="none" w:sz="0" w:space="0" w:color="auto"/>
        <w:right w:val="none" w:sz="0" w:space="0" w:color="auto"/>
      </w:divBdr>
    </w:div>
    <w:div w:id="1721129454">
      <w:bodyDiv w:val="1"/>
      <w:marLeft w:val="0"/>
      <w:marRight w:val="0"/>
      <w:marTop w:val="0"/>
      <w:marBottom w:val="0"/>
      <w:divBdr>
        <w:top w:val="none" w:sz="0" w:space="0" w:color="auto"/>
        <w:left w:val="none" w:sz="0" w:space="0" w:color="auto"/>
        <w:bottom w:val="none" w:sz="0" w:space="0" w:color="auto"/>
        <w:right w:val="none" w:sz="0" w:space="0" w:color="auto"/>
      </w:divBdr>
    </w:div>
    <w:div w:id="1800954210">
      <w:bodyDiv w:val="1"/>
      <w:marLeft w:val="0"/>
      <w:marRight w:val="0"/>
      <w:marTop w:val="0"/>
      <w:marBottom w:val="0"/>
      <w:divBdr>
        <w:top w:val="none" w:sz="0" w:space="0" w:color="auto"/>
        <w:left w:val="none" w:sz="0" w:space="0" w:color="auto"/>
        <w:bottom w:val="none" w:sz="0" w:space="0" w:color="auto"/>
        <w:right w:val="none" w:sz="0" w:space="0" w:color="auto"/>
      </w:divBdr>
    </w:div>
    <w:div w:id="1902788690">
      <w:marLeft w:val="0"/>
      <w:marRight w:val="0"/>
      <w:marTop w:val="0"/>
      <w:marBottom w:val="0"/>
      <w:divBdr>
        <w:top w:val="none" w:sz="0" w:space="0" w:color="auto"/>
        <w:left w:val="none" w:sz="0" w:space="0" w:color="auto"/>
        <w:bottom w:val="none" w:sz="0" w:space="0" w:color="auto"/>
        <w:right w:val="none" w:sz="0" w:space="0" w:color="auto"/>
      </w:divBdr>
    </w:div>
    <w:div w:id="20052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y.kamionko@notts.police.uk"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ucy.greaves@notts.police.uk" TargetMode="Externa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2000300\AppData\Local\Microsoft\Windows\INetCache\Content.Outlook\SKBDAIPD\Char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2000300\AppData\Local\Microsoft\Windows\INetCache\Content.Outlook\SKBDAIPD\Char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2000300\AppData\Local\Microsoft\Windows\INetCache\Content.Outlook\SKBDAIPD\Char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2000300\AppData\Local\Microsoft\Windows\INetCache\Content.Outlook\SKBDAIPD\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b="0" i="0" baseline="0">
                <a:effectLst/>
              </a:rPr>
              <a:t>FOI Received, Completed</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Charts!$A$2</c:f>
              <c:strCache>
                <c:ptCount val="1"/>
                <c:pt idx="0">
                  <c:v>FOI Received</c:v>
                </c:pt>
              </c:strCache>
            </c:strRef>
          </c:tx>
          <c:spPr>
            <a:solidFill>
              <a:schemeClr val="accent1"/>
            </a:solidFill>
            <a:ln>
              <a:noFill/>
            </a:ln>
            <a:effectLst/>
          </c:spPr>
          <c:invertIfNegative val="0"/>
          <c:cat>
            <c:numRef>
              <c:f>Charts!$B$1:$N$1</c:f>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f>Charts!$B$2:$N$2</c:f>
              <c:numCache>
                <c:formatCode>General</c:formatCode>
                <c:ptCount val="13"/>
                <c:pt idx="0">
                  <c:v>105</c:v>
                </c:pt>
                <c:pt idx="1">
                  <c:v>107</c:v>
                </c:pt>
                <c:pt idx="2">
                  <c:v>100</c:v>
                </c:pt>
                <c:pt idx="3">
                  <c:v>78</c:v>
                </c:pt>
                <c:pt idx="4">
                  <c:v>87</c:v>
                </c:pt>
                <c:pt idx="5">
                  <c:v>142</c:v>
                </c:pt>
                <c:pt idx="6">
                  <c:v>97</c:v>
                </c:pt>
                <c:pt idx="7">
                  <c:v>85</c:v>
                </c:pt>
                <c:pt idx="8">
                  <c:v>120</c:v>
                </c:pt>
                <c:pt idx="9">
                  <c:v>112</c:v>
                </c:pt>
                <c:pt idx="10">
                  <c:v>95</c:v>
                </c:pt>
                <c:pt idx="11">
                  <c:v>82</c:v>
                </c:pt>
                <c:pt idx="12">
                  <c:v>97</c:v>
                </c:pt>
              </c:numCache>
            </c:numRef>
          </c:val>
          <c:extLst>
            <c:ext xmlns:c16="http://schemas.microsoft.com/office/drawing/2014/chart" uri="{C3380CC4-5D6E-409C-BE32-E72D297353CC}">
              <c16:uniqueId val="{00000000-3F0F-4770-84D4-2849FC3F680A}"/>
            </c:ext>
          </c:extLst>
        </c:ser>
        <c:ser>
          <c:idx val="1"/>
          <c:order val="1"/>
          <c:tx>
            <c:strRef>
              <c:f>Charts!$A$3</c:f>
              <c:strCache>
                <c:ptCount val="1"/>
                <c:pt idx="0">
                  <c:v>FOI Closed</c:v>
                </c:pt>
              </c:strCache>
            </c:strRef>
          </c:tx>
          <c:spPr>
            <a:solidFill>
              <a:schemeClr val="accent2"/>
            </a:solidFill>
            <a:ln>
              <a:noFill/>
            </a:ln>
            <a:effectLst/>
          </c:spPr>
          <c:invertIfNegative val="0"/>
          <c:cat>
            <c:numRef>
              <c:f>Charts!$B$1:$N$1</c:f>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f>Charts!$B$3:$N$3</c:f>
              <c:numCache>
                <c:formatCode>General</c:formatCode>
                <c:ptCount val="13"/>
                <c:pt idx="0">
                  <c:v>93</c:v>
                </c:pt>
                <c:pt idx="1">
                  <c:v>64</c:v>
                </c:pt>
                <c:pt idx="2">
                  <c:v>38</c:v>
                </c:pt>
                <c:pt idx="3">
                  <c:v>41</c:v>
                </c:pt>
                <c:pt idx="4">
                  <c:v>73</c:v>
                </c:pt>
                <c:pt idx="5">
                  <c:v>28</c:v>
                </c:pt>
                <c:pt idx="6">
                  <c:v>138</c:v>
                </c:pt>
                <c:pt idx="7">
                  <c:v>64</c:v>
                </c:pt>
                <c:pt idx="8">
                  <c:v>94</c:v>
                </c:pt>
                <c:pt idx="9">
                  <c:v>60</c:v>
                </c:pt>
                <c:pt idx="10">
                  <c:v>110</c:v>
                </c:pt>
                <c:pt idx="11">
                  <c:v>39</c:v>
                </c:pt>
                <c:pt idx="12">
                  <c:v>44</c:v>
                </c:pt>
              </c:numCache>
            </c:numRef>
          </c:val>
          <c:extLst>
            <c:ext xmlns:c16="http://schemas.microsoft.com/office/drawing/2014/chart" uri="{C3380CC4-5D6E-409C-BE32-E72D297353CC}">
              <c16:uniqueId val="{00000001-3F0F-4770-84D4-2849FC3F680A}"/>
            </c:ext>
          </c:extLst>
        </c:ser>
        <c:dLbls>
          <c:showLegendKey val="0"/>
          <c:showVal val="0"/>
          <c:showCatName val="0"/>
          <c:showSerName val="0"/>
          <c:showPercent val="0"/>
          <c:showBubbleSize val="0"/>
        </c:dLbls>
        <c:gapWidth val="150"/>
        <c:axId val="2056353935"/>
        <c:axId val="2056354351"/>
      </c:barChart>
      <c:lineChart>
        <c:grouping val="standard"/>
        <c:varyColors val="0"/>
        <c:dLbls>
          <c:showLegendKey val="0"/>
          <c:showVal val="0"/>
          <c:showCatName val="0"/>
          <c:showSerName val="0"/>
          <c:showPercent val="0"/>
          <c:showBubbleSize val="0"/>
        </c:dLbls>
        <c:marker val="1"/>
        <c:smooth val="0"/>
        <c:axId val="2056353935"/>
        <c:axId val="2056354351"/>
        <c:extLst>
          <c:ext xmlns:c15="http://schemas.microsoft.com/office/drawing/2012/chart" uri="{02D57815-91ED-43cb-92C2-25804820EDAC}">
            <c15:filteredLineSeries>
              <c15:ser>
                <c:idx val="2"/>
                <c:order val="2"/>
                <c:tx>
                  <c:strRef>
                    <c:extLst>
                      <c:ext uri="{02D57815-91ED-43cb-92C2-25804820EDAC}">
                        <c15:formulaRef>
                          <c15:sqref>Charts!#REF!</c15:sqref>
                        </c15:formulaRef>
                      </c:ext>
                    </c:extLst>
                    <c:strCache>
                      <c:ptCount val="1"/>
                      <c:pt idx="0">
                        <c:v>#REF!</c:v>
                      </c:pt>
                    </c:strCache>
                  </c:strRef>
                </c:tx>
                <c:spPr>
                  <a:ln w="28575" cap="rnd">
                    <a:solidFill>
                      <a:schemeClr val="accent3"/>
                    </a:solidFill>
                    <a:round/>
                  </a:ln>
                  <a:effectLst/>
                </c:spPr>
                <c:marker>
                  <c:symbol val="circle"/>
                  <c:size val="5"/>
                  <c:spPr>
                    <a:solidFill>
                      <a:srgbClr val="FF0000"/>
                    </a:solidFill>
                    <a:ln w="9525">
                      <a:solidFill>
                        <a:srgbClr val="FF0000"/>
                      </a:solidFill>
                    </a:ln>
                    <a:effectLst/>
                  </c:spPr>
                </c:marker>
                <c:cat>
                  <c:numRef>
                    <c:extLst>
                      <c:ext uri="{02D57815-91ED-43cb-92C2-25804820EDAC}">
                        <c15:formulaRef>
                          <c15:sqref>Charts!$B$1:$N$1</c15:sqref>
                        </c15:formulaRef>
                      </c:ext>
                    </c:extLst>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extLst>
                      <c:ext uri="{02D57815-91ED-43cb-92C2-25804820EDAC}">
                        <c15:formulaRef>
                          <c15:sqref>Charts!#REF!</c15:sqref>
                        </c15:formulaRef>
                      </c:ext>
                    </c:extLst>
                    <c:numCache>
                      <c:formatCode>General</c:formatCode>
                      <c:ptCount val="1"/>
                      <c:pt idx="0">
                        <c:v>1</c:v>
                      </c:pt>
                    </c:numCache>
                  </c:numRef>
                </c:val>
                <c:smooth val="0"/>
                <c:extLst>
                  <c:ext xmlns:c16="http://schemas.microsoft.com/office/drawing/2014/chart" uri="{C3380CC4-5D6E-409C-BE32-E72D297353CC}">
                    <c16:uniqueId val="{00000002-3F0F-4770-84D4-2849FC3F680A}"/>
                  </c:ext>
                </c:extLst>
              </c15:ser>
            </c15:filteredLineSeries>
          </c:ext>
        </c:extLst>
      </c:lineChart>
      <c:dateAx>
        <c:axId val="205635393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354351"/>
        <c:crosses val="autoZero"/>
        <c:auto val="1"/>
        <c:lblOffset val="100"/>
        <c:baseTimeUnit val="months"/>
      </c:dateAx>
      <c:valAx>
        <c:axId val="2056354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35393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b="0" i="0" baseline="0">
                <a:effectLst/>
              </a:rPr>
              <a:t>IR/ICO Received, Closed</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Charts!$A$30</c:f>
              <c:strCache>
                <c:ptCount val="1"/>
                <c:pt idx="0">
                  <c:v>IR/ICO Appeals Received</c:v>
                </c:pt>
              </c:strCache>
            </c:strRef>
          </c:tx>
          <c:spPr>
            <a:solidFill>
              <a:schemeClr val="accent1"/>
            </a:solidFill>
            <a:ln>
              <a:noFill/>
            </a:ln>
            <a:effectLst/>
          </c:spPr>
          <c:invertIfNegative val="0"/>
          <c:cat>
            <c:numRef>
              <c:f>Charts!$B$29:$N$29</c:f>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f>Charts!$B$30:$N$30</c:f>
              <c:numCache>
                <c:formatCode>General</c:formatCode>
                <c:ptCount val="13"/>
                <c:pt idx="0">
                  <c:v>2</c:v>
                </c:pt>
                <c:pt idx="1">
                  <c:v>2</c:v>
                </c:pt>
                <c:pt idx="2">
                  <c:v>2</c:v>
                </c:pt>
                <c:pt idx="3">
                  <c:v>1</c:v>
                </c:pt>
                <c:pt idx="4">
                  <c:v>7</c:v>
                </c:pt>
                <c:pt idx="5">
                  <c:v>2</c:v>
                </c:pt>
                <c:pt idx="6">
                  <c:v>2</c:v>
                </c:pt>
                <c:pt idx="7">
                  <c:v>2</c:v>
                </c:pt>
                <c:pt idx="8">
                  <c:v>1</c:v>
                </c:pt>
                <c:pt idx="9">
                  <c:v>3</c:v>
                </c:pt>
                <c:pt idx="10">
                  <c:v>2</c:v>
                </c:pt>
                <c:pt idx="11">
                  <c:v>1</c:v>
                </c:pt>
                <c:pt idx="12">
                  <c:v>0</c:v>
                </c:pt>
              </c:numCache>
            </c:numRef>
          </c:val>
          <c:extLst>
            <c:ext xmlns:c16="http://schemas.microsoft.com/office/drawing/2014/chart" uri="{C3380CC4-5D6E-409C-BE32-E72D297353CC}">
              <c16:uniqueId val="{00000000-EBAC-4D06-8F74-15CE3DF0C71E}"/>
            </c:ext>
          </c:extLst>
        </c:ser>
        <c:ser>
          <c:idx val="1"/>
          <c:order val="1"/>
          <c:tx>
            <c:strRef>
              <c:f>Charts!$A$31</c:f>
              <c:strCache>
                <c:ptCount val="1"/>
                <c:pt idx="0">
                  <c:v>IR/ICO Appeals Closed</c:v>
                </c:pt>
              </c:strCache>
            </c:strRef>
          </c:tx>
          <c:spPr>
            <a:solidFill>
              <a:schemeClr val="accent2"/>
            </a:solidFill>
            <a:ln>
              <a:noFill/>
            </a:ln>
            <a:effectLst/>
          </c:spPr>
          <c:invertIfNegative val="0"/>
          <c:cat>
            <c:numRef>
              <c:f>Charts!$B$29:$N$29</c:f>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f>Charts!$B$31:$N$31</c:f>
              <c:numCache>
                <c:formatCode>General</c:formatCode>
                <c:ptCount val="13"/>
                <c:pt idx="0">
                  <c:v>1</c:v>
                </c:pt>
                <c:pt idx="1">
                  <c:v>1</c:v>
                </c:pt>
                <c:pt idx="2">
                  <c:v>1</c:v>
                </c:pt>
                <c:pt idx="3">
                  <c:v>12</c:v>
                </c:pt>
                <c:pt idx="4">
                  <c:v>3</c:v>
                </c:pt>
                <c:pt idx="5">
                  <c:v>4</c:v>
                </c:pt>
                <c:pt idx="6">
                  <c:v>2</c:v>
                </c:pt>
                <c:pt idx="7">
                  <c:v>0</c:v>
                </c:pt>
                <c:pt idx="8">
                  <c:v>2</c:v>
                </c:pt>
                <c:pt idx="9">
                  <c:v>0</c:v>
                </c:pt>
                <c:pt idx="10">
                  <c:v>5</c:v>
                </c:pt>
                <c:pt idx="11">
                  <c:v>1</c:v>
                </c:pt>
                <c:pt idx="12">
                  <c:v>2</c:v>
                </c:pt>
              </c:numCache>
            </c:numRef>
          </c:val>
          <c:extLst>
            <c:ext xmlns:c16="http://schemas.microsoft.com/office/drawing/2014/chart" uri="{C3380CC4-5D6E-409C-BE32-E72D297353CC}">
              <c16:uniqueId val="{00000001-EBAC-4D06-8F74-15CE3DF0C71E}"/>
            </c:ext>
          </c:extLst>
        </c:ser>
        <c:dLbls>
          <c:showLegendKey val="0"/>
          <c:showVal val="0"/>
          <c:showCatName val="0"/>
          <c:showSerName val="0"/>
          <c:showPercent val="0"/>
          <c:showBubbleSize val="0"/>
        </c:dLbls>
        <c:gapWidth val="150"/>
        <c:axId val="2056353935"/>
        <c:axId val="2056354351"/>
      </c:barChart>
      <c:lineChart>
        <c:grouping val="standard"/>
        <c:varyColors val="0"/>
        <c:dLbls>
          <c:showLegendKey val="0"/>
          <c:showVal val="0"/>
          <c:showCatName val="0"/>
          <c:showSerName val="0"/>
          <c:showPercent val="0"/>
          <c:showBubbleSize val="0"/>
        </c:dLbls>
        <c:marker val="1"/>
        <c:smooth val="0"/>
        <c:axId val="1690648608"/>
        <c:axId val="1690651520"/>
        <c:extLst>
          <c:ext xmlns:c15="http://schemas.microsoft.com/office/drawing/2012/chart" uri="{02D57815-91ED-43cb-92C2-25804820EDAC}">
            <c15:filteredLineSeries>
              <c15:ser>
                <c:idx val="2"/>
                <c:order val="2"/>
                <c:tx>
                  <c:strRef>
                    <c:extLst>
                      <c:ext uri="{02D57815-91ED-43cb-92C2-25804820EDAC}">
                        <c15:formulaRef>
                          <c15:sqref>Charts!$A$32</c15:sqref>
                        </c15:formulaRef>
                      </c:ext>
                    </c:extLst>
                    <c:strCache>
                      <c:ptCount val="1"/>
                      <c:pt idx="0">
                        <c:v>IR/ICO Appeal Compliance Rate</c:v>
                      </c:pt>
                    </c:strCache>
                  </c:strRef>
                </c:tx>
                <c:spPr>
                  <a:ln w="28575" cap="rnd">
                    <a:noFill/>
                    <a:round/>
                  </a:ln>
                  <a:effectLst/>
                </c:spPr>
                <c:marker>
                  <c:symbol val="circle"/>
                  <c:size val="5"/>
                  <c:spPr>
                    <a:solidFill>
                      <a:srgbClr val="FF0000"/>
                    </a:solidFill>
                    <a:ln w="9525">
                      <a:solidFill>
                        <a:schemeClr val="accent3"/>
                      </a:solidFill>
                    </a:ln>
                    <a:effectLst/>
                  </c:spPr>
                </c:marker>
                <c:dPt>
                  <c:idx val="0"/>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2-EBAC-4D06-8F74-15CE3DF0C71E}"/>
                    </c:ext>
                  </c:extLst>
                </c:dPt>
                <c:cat>
                  <c:numRef>
                    <c:extLst>
                      <c:ext uri="{02D57815-91ED-43cb-92C2-25804820EDAC}">
                        <c15:formulaRef>
                          <c15:sqref>Charts!$B$29:$N$29</c15:sqref>
                        </c15:formulaRef>
                      </c:ext>
                    </c:extLst>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extLst>
                      <c:ext uri="{02D57815-91ED-43cb-92C2-25804820EDAC}">
                        <c15:formulaRef>
                          <c15:sqref>Charts!$B$32:$N$32</c15:sqref>
                        </c15:formulaRef>
                      </c:ext>
                    </c:extLst>
                    <c:numCache>
                      <c:formatCode>General</c:formatCode>
                      <c:ptCount val="13"/>
                      <c:pt idx="0" formatCode="0%">
                        <c:v>1</c:v>
                      </c:pt>
                    </c:numCache>
                  </c:numRef>
                </c:val>
                <c:smooth val="0"/>
                <c:extLst>
                  <c:ext xmlns:c16="http://schemas.microsoft.com/office/drawing/2014/chart" uri="{C3380CC4-5D6E-409C-BE32-E72D297353CC}">
                    <c16:uniqueId val="{00000003-EBAC-4D06-8F74-15CE3DF0C71E}"/>
                  </c:ext>
                </c:extLst>
              </c15:ser>
            </c15:filteredLineSeries>
          </c:ext>
        </c:extLst>
      </c:lineChart>
      <c:dateAx>
        <c:axId val="205635393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354351"/>
        <c:crosses val="autoZero"/>
        <c:auto val="1"/>
        <c:lblOffset val="100"/>
        <c:baseTimeUnit val="months"/>
      </c:dateAx>
      <c:valAx>
        <c:axId val="2056354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353935"/>
        <c:crosses val="autoZero"/>
        <c:crossBetween val="between"/>
      </c:valAx>
      <c:valAx>
        <c:axId val="1690651520"/>
        <c:scaling>
          <c:orientation val="minMax"/>
          <c:max val="1"/>
        </c:scaling>
        <c:delete val="1"/>
        <c:axPos val="r"/>
        <c:numFmt formatCode="0%" sourceLinked="1"/>
        <c:majorTickMark val="out"/>
        <c:minorTickMark val="none"/>
        <c:tickLblPos val="nextTo"/>
        <c:crossAx val="1690648608"/>
        <c:crosses val="max"/>
        <c:crossBetween val="between"/>
      </c:valAx>
      <c:catAx>
        <c:axId val="1690648608"/>
        <c:scaling>
          <c:orientation val="minMax"/>
        </c:scaling>
        <c:delete val="1"/>
        <c:axPos val="t"/>
        <c:numFmt formatCode="mmm\-yy" sourceLinked="1"/>
        <c:majorTickMark val="out"/>
        <c:minorTickMark val="none"/>
        <c:tickLblPos val="nextTo"/>
        <c:crossAx val="1690651520"/>
        <c:crosses val="max"/>
        <c:auto val="1"/>
        <c:lblAlgn val="ctr"/>
        <c:lblOffset val="100"/>
        <c:noMultiLvlLbl val="1"/>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b="0" i="0" baseline="0">
                <a:effectLst/>
              </a:rPr>
              <a:t>SAR Received, Closed</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Charts!$A$58</c:f>
              <c:strCache>
                <c:ptCount val="1"/>
                <c:pt idx="0">
                  <c:v>SAR Received</c:v>
                </c:pt>
              </c:strCache>
            </c:strRef>
          </c:tx>
          <c:spPr>
            <a:solidFill>
              <a:schemeClr val="accent1"/>
            </a:solidFill>
            <a:ln>
              <a:noFill/>
            </a:ln>
            <a:effectLst/>
          </c:spPr>
          <c:invertIfNegative val="0"/>
          <c:cat>
            <c:numRef>
              <c:f>Charts!$B$57:$N$57</c:f>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f>Charts!$B$58:$N$58</c:f>
              <c:numCache>
                <c:formatCode>General</c:formatCode>
                <c:ptCount val="13"/>
                <c:pt idx="0">
                  <c:v>38</c:v>
                </c:pt>
                <c:pt idx="1">
                  <c:v>50</c:v>
                </c:pt>
                <c:pt idx="2">
                  <c:v>64</c:v>
                </c:pt>
                <c:pt idx="3">
                  <c:v>48</c:v>
                </c:pt>
                <c:pt idx="4">
                  <c:v>66</c:v>
                </c:pt>
                <c:pt idx="5">
                  <c:v>54</c:v>
                </c:pt>
                <c:pt idx="6">
                  <c:v>51</c:v>
                </c:pt>
                <c:pt idx="7">
                  <c:v>45</c:v>
                </c:pt>
                <c:pt idx="8">
                  <c:v>40</c:v>
                </c:pt>
                <c:pt idx="9">
                  <c:v>54</c:v>
                </c:pt>
                <c:pt idx="10">
                  <c:v>61</c:v>
                </c:pt>
                <c:pt idx="11">
                  <c:v>44</c:v>
                </c:pt>
                <c:pt idx="12">
                  <c:v>49</c:v>
                </c:pt>
              </c:numCache>
            </c:numRef>
          </c:val>
          <c:extLst>
            <c:ext xmlns:c16="http://schemas.microsoft.com/office/drawing/2014/chart" uri="{C3380CC4-5D6E-409C-BE32-E72D297353CC}">
              <c16:uniqueId val="{00000000-BEFE-4673-BE8F-C22C3585EB09}"/>
            </c:ext>
          </c:extLst>
        </c:ser>
        <c:ser>
          <c:idx val="1"/>
          <c:order val="1"/>
          <c:tx>
            <c:strRef>
              <c:f>Charts!$A$59</c:f>
              <c:strCache>
                <c:ptCount val="1"/>
                <c:pt idx="0">
                  <c:v>SAR Closed</c:v>
                </c:pt>
              </c:strCache>
            </c:strRef>
          </c:tx>
          <c:spPr>
            <a:solidFill>
              <a:schemeClr val="accent2"/>
            </a:solidFill>
            <a:ln>
              <a:noFill/>
            </a:ln>
            <a:effectLst/>
          </c:spPr>
          <c:invertIfNegative val="0"/>
          <c:cat>
            <c:numRef>
              <c:f>Charts!$B$57:$N$57</c:f>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f>Charts!$B$59:$N$59</c:f>
              <c:numCache>
                <c:formatCode>General</c:formatCode>
                <c:ptCount val="13"/>
                <c:pt idx="0">
                  <c:v>39</c:v>
                </c:pt>
                <c:pt idx="1">
                  <c:v>54</c:v>
                </c:pt>
                <c:pt idx="2">
                  <c:v>83</c:v>
                </c:pt>
                <c:pt idx="3">
                  <c:v>53</c:v>
                </c:pt>
                <c:pt idx="4">
                  <c:v>61</c:v>
                </c:pt>
                <c:pt idx="5">
                  <c:v>41</c:v>
                </c:pt>
                <c:pt idx="6">
                  <c:v>64</c:v>
                </c:pt>
                <c:pt idx="7">
                  <c:v>21</c:v>
                </c:pt>
                <c:pt idx="8">
                  <c:v>54</c:v>
                </c:pt>
                <c:pt idx="9">
                  <c:v>42</c:v>
                </c:pt>
                <c:pt idx="10">
                  <c:v>66</c:v>
                </c:pt>
                <c:pt idx="11">
                  <c:v>38</c:v>
                </c:pt>
                <c:pt idx="12">
                  <c:v>37</c:v>
                </c:pt>
              </c:numCache>
            </c:numRef>
          </c:val>
          <c:extLst>
            <c:ext xmlns:c16="http://schemas.microsoft.com/office/drawing/2014/chart" uri="{C3380CC4-5D6E-409C-BE32-E72D297353CC}">
              <c16:uniqueId val="{00000001-BEFE-4673-BE8F-C22C3585EB09}"/>
            </c:ext>
          </c:extLst>
        </c:ser>
        <c:dLbls>
          <c:showLegendKey val="0"/>
          <c:showVal val="0"/>
          <c:showCatName val="0"/>
          <c:showSerName val="0"/>
          <c:showPercent val="0"/>
          <c:showBubbleSize val="0"/>
        </c:dLbls>
        <c:gapWidth val="150"/>
        <c:axId val="2056353935"/>
        <c:axId val="2056354351"/>
      </c:barChart>
      <c:lineChart>
        <c:grouping val="stacked"/>
        <c:varyColors val="0"/>
        <c:dLbls>
          <c:showLegendKey val="0"/>
          <c:showVal val="0"/>
          <c:showCatName val="0"/>
          <c:showSerName val="0"/>
          <c:showPercent val="0"/>
          <c:showBubbleSize val="0"/>
        </c:dLbls>
        <c:marker val="1"/>
        <c:smooth val="0"/>
        <c:axId val="1605283632"/>
        <c:axId val="1605297776"/>
        <c:extLst>
          <c:ext xmlns:c15="http://schemas.microsoft.com/office/drawing/2012/chart" uri="{02D57815-91ED-43cb-92C2-25804820EDAC}">
            <c15:filteredLineSeries>
              <c15:ser>
                <c:idx val="2"/>
                <c:order val="2"/>
                <c:tx>
                  <c:strRef>
                    <c:extLst>
                      <c:ext uri="{02D57815-91ED-43cb-92C2-25804820EDAC}">
                        <c15:formulaRef>
                          <c15:sqref>Charts!$A$60</c15:sqref>
                        </c15:formulaRef>
                      </c:ext>
                    </c:extLst>
                    <c:strCache>
                      <c:ptCount val="1"/>
                      <c:pt idx="0">
                        <c:v>SAR Compliance Rate</c:v>
                      </c:pt>
                    </c:strCache>
                  </c:strRef>
                </c:tx>
                <c:spPr>
                  <a:ln w="28575" cap="rnd">
                    <a:noFill/>
                    <a:round/>
                  </a:ln>
                  <a:effectLst/>
                </c:spPr>
                <c:marker>
                  <c:symbol val="circle"/>
                  <c:size val="5"/>
                  <c:spPr>
                    <a:solidFill>
                      <a:srgbClr val="FF0000"/>
                    </a:solidFill>
                    <a:ln w="9525">
                      <a:solidFill>
                        <a:srgbClr val="FF0000"/>
                      </a:solidFill>
                    </a:ln>
                    <a:effectLst/>
                  </c:spPr>
                </c:marker>
                <c:cat>
                  <c:numRef>
                    <c:extLst>
                      <c:ext uri="{02D57815-91ED-43cb-92C2-25804820EDAC}">
                        <c15:formulaRef>
                          <c15:sqref>Charts!$B$57:$N$57</c15:sqref>
                        </c15:formulaRef>
                      </c:ext>
                    </c:extLst>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extLst>
                      <c:ext uri="{02D57815-91ED-43cb-92C2-25804820EDAC}">
                        <c15:formulaRef>
                          <c15:sqref>Charts!$B$60</c15:sqref>
                        </c15:formulaRef>
                      </c:ext>
                    </c:extLst>
                    <c:numCache>
                      <c:formatCode>0%</c:formatCode>
                      <c:ptCount val="1"/>
                      <c:pt idx="0">
                        <c:v>0.51</c:v>
                      </c:pt>
                    </c:numCache>
                  </c:numRef>
                </c:val>
                <c:smooth val="0"/>
                <c:extLst>
                  <c:ext xmlns:c16="http://schemas.microsoft.com/office/drawing/2014/chart" uri="{C3380CC4-5D6E-409C-BE32-E72D297353CC}">
                    <c16:uniqueId val="{00000002-BEFE-4673-BE8F-C22C3585EB09}"/>
                  </c:ext>
                </c:extLst>
              </c15:ser>
            </c15:filteredLineSeries>
          </c:ext>
        </c:extLst>
      </c:lineChart>
      <c:dateAx>
        <c:axId val="205635393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354351"/>
        <c:crosses val="autoZero"/>
        <c:auto val="1"/>
        <c:lblOffset val="100"/>
        <c:baseTimeUnit val="months"/>
      </c:dateAx>
      <c:valAx>
        <c:axId val="2056354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353935"/>
        <c:crosses val="autoZero"/>
        <c:crossBetween val="between"/>
      </c:valAx>
      <c:valAx>
        <c:axId val="1605297776"/>
        <c:scaling>
          <c:orientation val="minMax"/>
        </c:scaling>
        <c:delete val="1"/>
        <c:axPos val="r"/>
        <c:numFmt formatCode="0%" sourceLinked="1"/>
        <c:majorTickMark val="out"/>
        <c:minorTickMark val="none"/>
        <c:tickLblPos val="nextTo"/>
        <c:crossAx val="1605283632"/>
        <c:crosses val="max"/>
        <c:crossBetween val="between"/>
      </c:valAx>
      <c:catAx>
        <c:axId val="1605283632"/>
        <c:scaling>
          <c:orientation val="minMax"/>
        </c:scaling>
        <c:delete val="1"/>
        <c:axPos val="b"/>
        <c:numFmt formatCode="mmm\-yy" sourceLinked="1"/>
        <c:majorTickMark val="out"/>
        <c:minorTickMark val="none"/>
        <c:tickLblPos val="nextTo"/>
        <c:crossAx val="1605297776"/>
        <c:crosses val="autoZero"/>
        <c:auto val="1"/>
        <c:lblAlgn val="ctr"/>
        <c:lblOffset val="100"/>
        <c:noMultiLvlLbl val="1"/>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b="0" i="0" baseline="0">
                <a:effectLst/>
              </a:rPr>
              <a:t>Ccrims Received, Closed</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Charts!$A$86</c:f>
              <c:strCache>
                <c:ptCount val="1"/>
                <c:pt idx="0">
                  <c:v>Ccrims Received</c:v>
                </c:pt>
              </c:strCache>
            </c:strRef>
          </c:tx>
          <c:spPr>
            <a:solidFill>
              <a:schemeClr val="accent1"/>
            </a:solidFill>
            <a:ln>
              <a:noFill/>
            </a:ln>
            <a:effectLst/>
          </c:spPr>
          <c:invertIfNegative val="0"/>
          <c:cat>
            <c:numRef>
              <c:f>Charts!$B$85:$N$85</c:f>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f>Charts!$B$86:$N$86</c:f>
              <c:numCache>
                <c:formatCode>General</c:formatCode>
                <c:ptCount val="13"/>
                <c:pt idx="0">
                  <c:v>122</c:v>
                </c:pt>
                <c:pt idx="1">
                  <c:v>131</c:v>
                </c:pt>
                <c:pt idx="2">
                  <c:v>126</c:v>
                </c:pt>
                <c:pt idx="3">
                  <c:v>124</c:v>
                </c:pt>
                <c:pt idx="4">
                  <c:v>114</c:v>
                </c:pt>
                <c:pt idx="5">
                  <c:v>108</c:v>
                </c:pt>
                <c:pt idx="6">
                  <c:v>118</c:v>
                </c:pt>
                <c:pt idx="7">
                  <c:v>132</c:v>
                </c:pt>
                <c:pt idx="8">
                  <c:v>102</c:v>
                </c:pt>
                <c:pt idx="9">
                  <c:v>113</c:v>
                </c:pt>
                <c:pt idx="10">
                  <c:v>110</c:v>
                </c:pt>
                <c:pt idx="11">
                  <c:v>103</c:v>
                </c:pt>
                <c:pt idx="12">
                  <c:v>133</c:v>
                </c:pt>
              </c:numCache>
            </c:numRef>
          </c:val>
          <c:extLst>
            <c:ext xmlns:c16="http://schemas.microsoft.com/office/drawing/2014/chart" uri="{C3380CC4-5D6E-409C-BE32-E72D297353CC}">
              <c16:uniqueId val="{00000000-91B8-4AAB-ACB0-13950590C7D5}"/>
            </c:ext>
          </c:extLst>
        </c:ser>
        <c:ser>
          <c:idx val="1"/>
          <c:order val="1"/>
          <c:tx>
            <c:strRef>
              <c:f>Charts!$A$87</c:f>
              <c:strCache>
                <c:ptCount val="1"/>
                <c:pt idx="0">
                  <c:v>Ccrims Closed</c:v>
                </c:pt>
              </c:strCache>
            </c:strRef>
          </c:tx>
          <c:spPr>
            <a:solidFill>
              <a:schemeClr val="accent2"/>
            </a:solidFill>
            <a:ln>
              <a:noFill/>
            </a:ln>
            <a:effectLst/>
          </c:spPr>
          <c:invertIfNegative val="0"/>
          <c:cat>
            <c:numRef>
              <c:f>Charts!$B$85:$N$85</c:f>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f>Charts!$B$87:$N$87</c:f>
              <c:numCache>
                <c:formatCode>General</c:formatCode>
                <c:ptCount val="13"/>
                <c:pt idx="0">
                  <c:v>194</c:v>
                </c:pt>
                <c:pt idx="1">
                  <c:v>135</c:v>
                </c:pt>
                <c:pt idx="2">
                  <c:v>96</c:v>
                </c:pt>
                <c:pt idx="3">
                  <c:v>124</c:v>
                </c:pt>
                <c:pt idx="4">
                  <c:v>94</c:v>
                </c:pt>
                <c:pt idx="5">
                  <c:v>117</c:v>
                </c:pt>
                <c:pt idx="6">
                  <c:v>108</c:v>
                </c:pt>
                <c:pt idx="7">
                  <c:v>92</c:v>
                </c:pt>
                <c:pt idx="8">
                  <c:v>138</c:v>
                </c:pt>
                <c:pt idx="9">
                  <c:v>103</c:v>
                </c:pt>
                <c:pt idx="10">
                  <c:v>73</c:v>
                </c:pt>
                <c:pt idx="11">
                  <c:v>80</c:v>
                </c:pt>
                <c:pt idx="12">
                  <c:v>104</c:v>
                </c:pt>
              </c:numCache>
            </c:numRef>
          </c:val>
          <c:extLst>
            <c:ext xmlns:c16="http://schemas.microsoft.com/office/drawing/2014/chart" uri="{C3380CC4-5D6E-409C-BE32-E72D297353CC}">
              <c16:uniqueId val="{00000001-91B8-4AAB-ACB0-13950590C7D5}"/>
            </c:ext>
          </c:extLst>
        </c:ser>
        <c:dLbls>
          <c:showLegendKey val="0"/>
          <c:showVal val="0"/>
          <c:showCatName val="0"/>
          <c:showSerName val="0"/>
          <c:showPercent val="0"/>
          <c:showBubbleSize val="0"/>
        </c:dLbls>
        <c:gapWidth val="150"/>
        <c:axId val="2056353935"/>
        <c:axId val="2056354351"/>
      </c:barChart>
      <c:lineChart>
        <c:grouping val="stacked"/>
        <c:varyColors val="0"/>
        <c:dLbls>
          <c:showLegendKey val="0"/>
          <c:showVal val="0"/>
          <c:showCatName val="0"/>
          <c:showSerName val="0"/>
          <c:showPercent val="0"/>
          <c:showBubbleSize val="0"/>
        </c:dLbls>
        <c:marker val="1"/>
        <c:smooth val="0"/>
        <c:axId val="1613106512"/>
        <c:axId val="1613104848"/>
        <c:extLst>
          <c:ext xmlns:c15="http://schemas.microsoft.com/office/drawing/2012/chart" uri="{02D57815-91ED-43cb-92C2-25804820EDAC}">
            <c15:filteredLineSeries>
              <c15:ser>
                <c:idx val="2"/>
                <c:order val="2"/>
                <c:tx>
                  <c:strRef>
                    <c:extLst>
                      <c:ext uri="{02D57815-91ED-43cb-92C2-25804820EDAC}">
                        <c15:formulaRef>
                          <c15:sqref>Charts!$A$88</c15:sqref>
                        </c15:formulaRef>
                      </c:ext>
                    </c:extLst>
                    <c:strCache>
                      <c:ptCount val="1"/>
                      <c:pt idx="0">
                        <c:v>Ccrims Compliance Rate</c:v>
                      </c:pt>
                    </c:strCache>
                  </c:strRef>
                </c:tx>
                <c:spPr>
                  <a:ln w="28575" cap="rnd">
                    <a:noFill/>
                    <a:round/>
                  </a:ln>
                  <a:effectLst/>
                </c:spPr>
                <c:marker>
                  <c:symbol val="circle"/>
                  <c:size val="5"/>
                  <c:spPr>
                    <a:solidFill>
                      <a:srgbClr val="FF0000"/>
                    </a:solidFill>
                    <a:ln w="9525">
                      <a:solidFill>
                        <a:srgbClr val="FF0000"/>
                      </a:solidFill>
                    </a:ln>
                    <a:effectLst/>
                  </c:spPr>
                </c:marker>
                <c:dPt>
                  <c:idx val="0"/>
                  <c:marker>
                    <c:symbol val="circle"/>
                    <c:size val="5"/>
                    <c:spPr>
                      <a:noFill/>
                      <a:ln w="9525">
                        <a:noFill/>
                      </a:ln>
                      <a:effectLst/>
                    </c:spPr>
                  </c:marker>
                  <c:bubble3D val="0"/>
                  <c:extLst>
                    <c:ext xmlns:c16="http://schemas.microsoft.com/office/drawing/2014/chart" uri="{C3380CC4-5D6E-409C-BE32-E72D297353CC}">
                      <c16:uniqueId val="{00000002-91B8-4AAB-ACB0-13950590C7D5}"/>
                    </c:ext>
                  </c:extLst>
                </c:dPt>
                <c:cat>
                  <c:numRef>
                    <c:extLst>
                      <c:ext uri="{02D57815-91ED-43cb-92C2-25804820EDAC}">
                        <c15:formulaRef>
                          <c15:sqref>Charts!$B$85:$N$85</c15:sqref>
                        </c15:formulaRef>
                      </c:ext>
                    </c:extLst>
                    <c:numCache>
                      <c:formatCode>mmm\-yy</c:formatCode>
                      <c:ptCount val="13"/>
                      <c:pt idx="0">
                        <c:v>44317</c:v>
                      </c:pt>
                      <c:pt idx="1">
                        <c:v>44348</c:v>
                      </c:pt>
                      <c:pt idx="2">
                        <c:v>44378</c:v>
                      </c:pt>
                      <c:pt idx="3">
                        <c:v>44409</c:v>
                      </c:pt>
                      <c:pt idx="4">
                        <c:v>44440</c:v>
                      </c:pt>
                      <c:pt idx="5">
                        <c:v>44470</c:v>
                      </c:pt>
                      <c:pt idx="6">
                        <c:v>44501</c:v>
                      </c:pt>
                      <c:pt idx="7">
                        <c:v>44531</c:v>
                      </c:pt>
                      <c:pt idx="8">
                        <c:v>44562</c:v>
                      </c:pt>
                      <c:pt idx="9">
                        <c:v>44593</c:v>
                      </c:pt>
                      <c:pt idx="10">
                        <c:v>44621</c:v>
                      </c:pt>
                      <c:pt idx="11">
                        <c:v>44652</c:v>
                      </c:pt>
                      <c:pt idx="12">
                        <c:v>44682</c:v>
                      </c:pt>
                    </c:numCache>
                  </c:numRef>
                </c:cat>
                <c:val>
                  <c:numRef>
                    <c:extLst>
                      <c:ext uri="{02D57815-91ED-43cb-92C2-25804820EDAC}">
                        <c15:formulaRef>
                          <c15:sqref>Charts!$B$88</c15:sqref>
                        </c15:formulaRef>
                      </c:ext>
                    </c:extLst>
                    <c:numCache>
                      <c:formatCode>0%</c:formatCode>
                      <c:ptCount val="1"/>
                    </c:numCache>
                  </c:numRef>
                </c:val>
                <c:smooth val="0"/>
                <c:extLst>
                  <c:ext xmlns:c16="http://schemas.microsoft.com/office/drawing/2014/chart" uri="{C3380CC4-5D6E-409C-BE32-E72D297353CC}">
                    <c16:uniqueId val="{00000003-91B8-4AAB-ACB0-13950590C7D5}"/>
                  </c:ext>
                </c:extLst>
              </c15:ser>
            </c15:filteredLineSeries>
          </c:ext>
        </c:extLst>
      </c:lineChart>
      <c:dateAx>
        <c:axId val="205635393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354351"/>
        <c:crosses val="autoZero"/>
        <c:auto val="1"/>
        <c:lblOffset val="100"/>
        <c:baseTimeUnit val="months"/>
      </c:dateAx>
      <c:valAx>
        <c:axId val="2056354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353935"/>
        <c:crosses val="autoZero"/>
        <c:crossBetween val="between"/>
      </c:valAx>
      <c:valAx>
        <c:axId val="1613104848"/>
        <c:scaling>
          <c:orientation val="minMax"/>
        </c:scaling>
        <c:delete val="1"/>
        <c:axPos val="r"/>
        <c:numFmt formatCode="0%" sourceLinked="1"/>
        <c:majorTickMark val="out"/>
        <c:minorTickMark val="none"/>
        <c:tickLblPos val="nextTo"/>
        <c:crossAx val="1613106512"/>
        <c:crosses val="max"/>
        <c:crossBetween val="between"/>
      </c:valAx>
      <c:catAx>
        <c:axId val="1613106512"/>
        <c:scaling>
          <c:orientation val="minMax"/>
        </c:scaling>
        <c:delete val="1"/>
        <c:axPos val="b"/>
        <c:numFmt formatCode="mmm\-yy" sourceLinked="1"/>
        <c:majorTickMark val="out"/>
        <c:minorTickMark val="none"/>
        <c:tickLblPos val="nextTo"/>
        <c:crossAx val="1613104848"/>
        <c:crosses val="autoZero"/>
        <c:auto val="1"/>
        <c:lblAlgn val="ctr"/>
        <c:lblOffset val="100"/>
        <c:noMultiLvlLbl val="1"/>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6765-7EC9-4082-BD71-26F855B2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REPORT TEMPLATE FOR:</vt:lpstr>
    </vt:vector>
  </TitlesOfParts>
  <Company>Nottinghamshire Police</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10. Force Assurance Report on Compliance with Freedom of Information and Data Protection Requests</dc:title>
  <dc:creator>c800059</dc:creator>
  <cp:lastModifiedBy>Deleted User</cp:lastModifiedBy>
  <cp:revision>8</cp:revision>
  <cp:lastPrinted>2016-01-11T15:58:00Z</cp:lastPrinted>
  <dcterms:created xsi:type="dcterms:W3CDTF">2022-06-20T09:24:00Z</dcterms:created>
  <dcterms:modified xsi:type="dcterms:W3CDTF">2022-08-05T12:55:43Z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2022-02-02T14:25:47Z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fccd1bd3-90f9-4091-9755-1f6b0afac2aa</vt:lpwstr>
  </property>
  <property fmtid="{D5CDD505-2E9C-101B-9397-08002B2CF9AE}" pid="8" name="MSIP_Label_0c9a534a-49dd-43c4-b4e5-f206b4dbf0e4_ContentBits">
    <vt:lpwstr>0</vt:lpwstr>
  </property>
</Properties>
</file>