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A33" w:rsidP="00543607" w:rsidRDefault="00A515CB" w14:paraId="19949B5A" w14:textId="2350D6D2">
      <w:pPr>
        <w:jc w:val="center"/>
        <w:rPr>
          <w:rFonts w:ascii="Arial" w:hAnsi="Arial" w:cs="Arial"/>
          <w:b/>
        </w:rPr>
      </w:pPr>
      <w:r w:rsidRPr="007A5AF6">
        <w:rPr>
          <w:rFonts w:ascii="Arial" w:hAnsi="Arial" w:cs="Arial"/>
          <w:b/>
        </w:rPr>
        <w:t>INTERNAL</w:t>
      </w:r>
      <w:r w:rsidRPr="007A5AF6" w:rsidR="00543607">
        <w:rPr>
          <w:rFonts w:ascii="Arial" w:hAnsi="Arial" w:cs="Arial"/>
          <w:b/>
        </w:rPr>
        <w:t xml:space="preserve"> </w:t>
      </w:r>
      <w:r w:rsidRPr="007A5AF6" w:rsidR="005A4666">
        <w:rPr>
          <w:rFonts w:ascii="Arial" w:hAnsi="Arial" w:cs="Arial"/>
          <w:b/>
        </w:rPr>
        <w:t>Audits 202</w:t>
      </w:r>
      <w:r w:rsidR="003E4D45">
        <w:rPr>
          <w:rFonts w:ascii="Arial" w:hAnsi="Arial" w:cs="Arial"/>
          <w:b/>
        </w:rPr>
        <w:t>1</w:t>
      </w:r>
      <w:r w:rsidRPr="007A5AF6" w:rsidR="005A4666">
        <w:rPr>
          <w:rFonts w:ascii="Arial" w:hAnsi="Arial" w:cs="Arial"/>
          <w:b/>
        </w:rPr>
        <w:t>/2</w:t>
      </w:r>
      <w:r w:rsidR="000656F2">
        <w:rPr>
          <w:rFonts w:ascii="Arial" w:hAnsi="Arial" w:cs="Arial"/>
          <w:b/>
        </w:rPr>
        <w:t>2</w:t>
      </w:r>
    </w:p>
    <w:p w:rsidRPr="00F42C49" w:rsidR="00F42C49" w:rsidP="00F42C49" w:rsidRDefault="00F42C49" w14:paraId="1285B7AD" w14:textId="3E508CEE">
      <w:pPr>
        <w:rPr>
          <w:rFonts w:ascii="Arial" w:hAnsi="Arial" w:cs="Arial"/>
          <w:b/>
          <w:color w:val="00B050"/>
        </w:rPr>
      </w:pPr>
      <w:r w:rsidRPr="00C2291C">
        <w:rPr>
          <w:rFonts w:ascii="Arial" w:hAnsi="Arial" w:cs="Arial"/>
          <w:b/>
          <w:color w:val="00B050"/>
        </w:rPr>
        <w:t>Green-</w:t>
      </w:r>
      <w:r>
        <w:rPr>
          <w:rFonts w:ascii="Arial" w:hAnsi="Arial" w:cs="Arial"/>
          <w:b/>
          <w:color w:val="00B050"/>
        </w:rPr>
        <w:t xml:space="preserve"> Recommendation is agreed closure by Mazars</w:t>
      </w:r>
    </w:p>
    <w:tbl>
      <w:tblPr>
        <w:tblStyle w:val="TableGrid"/>
        <w:tblW w:w="14029" w:type="dxa"/>
        <w:tblLook w:val="04A0" w:firstRow="1" w:lastRow="0" w:firstColumn="1" w:lastColumn="0" w:noHBand="0" w:noVBand="1"/>
      </w:tblPr>
      <w:tblGrid>
        <w:gridCol w:w="1838"/>
        <w:gridCol w:w="54"/>
        <w:gridCol w:w="1931"/>
        <w:gridCol w:w="141"/>
        <w:gridCol w:w="120"/>
        <w:gridCol w:w="64"/>
        <w:gridCol w:w="6653"/>
        <w:gridCol w:w="66"/>
        <w:gridCol w:w="43"/>
        <w:gridCol w:w="1419"/>
        <w:gridCol w:w="29"/>
        <w:gridCol w:w="24"/>
        <w:gridCol w:w="1647"/>
      </w:tblGrid>
      <w:tr w:rsidRPr="007A5AF6" w:rsidR="00543607" w:rsidTr="002A2904" w14:paraId="390BD711" w14:textId="77777777">
        <w:tc>
          <w:tcPr>
            <w:tcW w:w="1892" w:type="dxa"/>
            <w:gridSpan w:val="2"/>
          </w:tcPr>
          <w:p w:rsidRPr="007A5AF6" w:rsidR="00543607" w:rsidP="00543607" w:rsidRDefault="00543607" w14:paraId="4A68AEE9" w14:textId="77777777">
            <w:pPr>
              <w:jc w:val="center"/>
              <w:rPr>
                <w:rFonts w:ascii="Arial" w:hAnsi="Arial" w:cs="Arial"/>
                <w:b/>
              </w:rPr>
            </w:pPr>
            <w:r w:rsidRPr="007A5AF6">
              <w:rPr>
                <w:rFonts w:ascii="Arial" w:hAnsi="Arial" w:cs="Arial"/>
                <w:b/>
              </w:rPr>
              <w:t>Date</w:t>
            </w:r>
          </w:p>
        </w:tc>
        <w:tc>
          <w:tcPr>
            <w:tcW w:w="2192" w:type="dxa"/>
            <w:gridSpan w:val="3"/>
          </w:tcPr>
          <w:p w:rsidRPr="007A5AF6" w:rsidR="00543607" w:rsidP="00FD3080" w:rsidRDefault="00543607" w14:paraId="2D0B0546" w14:textId="77777777">
            <w:pPr>
              <w:jc w:val="center"/>
              <w:rPr>
                <w:rFonts w:ascii="Arial" w:hAnsi="Arial" w:cs="Arial"/>
                <w:b/>
              </w:rPr>
            </w:pPr>
            <w:r w:rsidRPr="007A5AF6">
              <w:rPr>
                <w:rFonts w:ascii="Arial" w:hAnsi="Arial" w:cs="Arial"/>
                <w:b/>
              </w:rPr>
              <w:t>Title</w:t>
            </w:r>
          </w:p>
        </w:tc>
        <w:tc>
          <w:tcPr>
            <w:tcW w:w="6717" w:type="dxa"/>
            <w:gridSpan w:val="2"/>
          </w:tcPr>
          <w:p w:rsidRPr="007A5AF6" w:rsidR="00543607" w:rsidP="00543607" w:rsidRDefault="00543607" w14:paraId="1AD62619" w14:textId="79FEC950">
            <w:pPr>
              <w:jc w:val="center"/>
              <w:rPr>
                <w:rFonts w:ascii="Arial" w:hAnsi="Arial" w:cs="Arial"/>
                <w:b/>
              </w:rPr>
            </w:pPr>
            <w:r w:rsidRPr="007A5AF6">
              <w:rPr>
                <w:rFonts w:ascii="Arial" w:hAnsi="Arial" w:cs="Arial"/>
                <w:b/>
              </w:rPr>
              <w:t>Recommendation</w:t>
            </w:r>
            <w:r w:rsidR="00FD3080">
              <w:rPr>
                <w:rFonts w:ascii="Arial" w:hAnsi="Arial" w:cs="Arial"/>
                <w:b/>
              </w:rPr>
              <w:t>s</w:t>
            </w:r>
          </w:p>
        </w:tc>
        <w:tc>
          <w:tcPr>
            <w:tcW w:w="1557" w:type="dxa"/>
            <w:gridSpan w:val="4"/>
          </w:tcPr>
          <w:p w:rsidRPr="007A5AF6" w:rsidR="00543607" w:rsidP="00543607" w:rsidRDefault="00A24DCA" w14:paraId="2480547E" w14:textId="77777777">
            <w:pPr>
              <w:jc w:val="center"/>
              <w:rPr>
                <w:rFonts w:ascii="Arial" w:hAnsi="Arial" w:cs="Arial"/>
                <w:b/>
              </w:rPr>
            </w:pPr>
            <w:r w:rsidRPr="007A5AF6">
              <w:rPr>
                <w:rFonts w:ascii="Arial" w:hAnsi="Arial" w:cs="Arial"/>
                <w:b/>
              </w:rPr>
              <w:t xml:space="preserve">Total </w:t>
            </w:r>
            <w:r w:rsidRPr="007A5AF6" w:rsidR="00543607">
              <w:rPr>
                <w:rFonts w:ascii="Arial" w:hAnsi="Arial" w:cs="Arial"/>
                <w:b/>
              </w:rPr>
              <w:t>Number Outstanding</w:t>
            </w:r>
          </w:p>
        </w:tc>
        <w:tc>
          <w:tcPr>
            <w:tcW w:w="1671" w:type="dxa"/>
            <w:gridSpan w:val="2"/>
          </w:tcPr>
          <w:p w:rsidRPr="007A5AF6" w:rsidR="00543607" w:rsidP="00543607" w:rsidRDefault="00A24DCA" w14:paraId="6A361D38" w14:textId="77777777">
            <w:pPr>
              <w:jc w:val="center"/>
              <w:rPr>
                <w:rFonts w:ascii="Arial" w:hAnsi="Arial" w:cs="Arial"/>
                <w:b/>
              </w:rPr>
            </w:pPr>
            <w:r w:rsidRPr="007A5AF6">
              <w:rPr>
                <w:rFonts w:ascii="Arial" w:hAnsi="Arial" w:cs="Arial"/>
                <w:b/>
              </w:rPr>
              <w:t xml:space="preserve">Total </w:t>
            </w:r>
            <w:r w:rsidRPr="007A5AF6" w:rsidR="00543607">
              <w:rPr>
                <w:rFonts w:ascii="Arial" w:hAnsi="Arial" w:cs="Arial"/>
                <w:b/>
              </w:rPr>
              <w:t>Number Closed</w:t>
            </w:r>
          </w:p>
        </w:tc>
      </w:tr>
      <w:tr w:rsidRPr="007A5AF6" w:rsidR="00C7717E" w:rsidTr="00E23655" w14:paraId="132868EE" w14:textId="77777777">
        <w:tc>
          <w:tcPr>
            <w:tcW w:w="1892" w:type="dxa"/>
            <w:gridSpan w:val="2"/>
            <w:shd w:val="clear" w:color="auto" w:fill="D9D9D9" w:themeFill="background1" w:themeFillShade="D9"/>
          </w:tcPr>
          <w:p w:rsidRPr="007A5AF6" w:rsidR="00C7717E" w:rsidP="00CC17B8" w:rsidRDefault="00C7717E" w14:paraId="3D3B7EC6" w14:textId="4CB46E69">
            <w:pPr>
              <w:rPr>
                <w:rFonts w:ascii="Arial" w:hAnsi="Arial" w:cs="Arial"/>
                <w:b/>
                <w:bCs/>
              </w:rPr>
            </w:pPr>
            <w:r>
              <w:rPr>
                <w:rFonts w:ascii="Arial" w:hAnsi="Arial" w:cs="Arial"/>
                <w:b/>
                <w:bCs/>
              </w:rPr>
              <w:t>March</w:t>
            </w:r>
            <w:r w:rsidRPr="007A5AF6">
              <w:rPr>
                <w:rFonts w:ascii="Arial" w:hAnsi="Arial" w:cs="Arial"/>
                <w:b/>
                <w:bCs/>
              </w:rPr>
              <w:t xml:space="preserve"> 2020</w:t>
            </w:r>
          </w:p>
        </w:tc>
        <w:tc>
          <w:tcPr>
            <w:tcW w:w="12137" w:type="dxa"/>
            <w:gridSpan w:val="11"/>
            <w:shd w:val="clear" w:color="auto" w:fill="D9D9D9" w:themeFill="background1" w:themeFillShade="D9"/>
          </w:tcPr>
          <w:p w:rsidRPr="007A5AF6" w:rsidR="00C7717E" w:rsidP="00CC17B8" w:rsidRDefault="00C7717E" w14:paraId="2E7B4D92" w14:textId="3E8FC240">
            <w:pPr>
              <w:rPr>
                <w:rFonts w:ascii="Arial" w:hAnsi="Arial" w:cs="Arial"/>
                <w:b/>
                <w:bCs/>
              </w:rPr>
            </w:pPr>
            <w:r>
              <w:rPr>
                <w:rFonts w:ascii="Arial" w:hAnsi="Arial" w:cs="Arial"/>
                <w:b/>
                <w:bCs/>
              </w:rPr>
              <w:t>Balance Transfers</w:t>
            </w:r>
            <w:r w:rsidRPr="007A5AF6">
              <w:rPr>
                <w:rFonts w:ascii="Arial" w:hAnsi="Arial" w:cs="Arial"/>
                <w:b/>
                <w:bCs/>
              </w:rPr>
              <w:t xml:space="preserve"> 2020</w:t>
            </w:r>
          </w:p>
          <w:p w:rsidRPr="007A5AF6" w:rsidR="00C7717E" w:rsidP="00CC17B8" w:rsidRDefault="00C7717E" w14:paraId="4B5B9322" w14:textId="77777777">
            <w:pPr>
              <w:jc w:val="center"/>
              <w:rPr>
                <w:rFonts w:ascii="Arial" w:hAnsi="Arial" w:cs="Arial"/>
                <w:b/>
                <w:bCs/>
              </w:rPr>
            </w:pPr>
          </w:p>
        </w:tc>
      </w:tr>
      <w:tr w:rsidR="00C7717E" w:rsidTr="002A2904" w14:paraId="64217746" w14:textId="77777777">
        <w:tc>
          <w:tcPr>
            <w:tcW w:w="1892" w:type="dxa"/>
            <w:gridSpan w:val="2"/>
          </w:tcPr>
          <w:p w:rsidRPr="00D179E8" w:rsidR="00C7717E" w:rsidP="00CC17B8" w:rsidRDefault="00D179E8" w14:paraId="104E2351" w14:textId="6337F1D0">
            <w:pPr>
              <w:rPr>
                <w:rFonts w:ascii="Arial" w:hAnsi="Arial" w:cs="Arial"/>
              </w:rPr>
            </w:pPr>
            <w:r w:rsidRPr="00D179E8">
              <w:rPr>
                <w:rFonts w:ascii="Arial" w:hAnsi="Arial" w:cs="Arial"/>
              </w:rPr>
              <w:t>CD/C4b5/30320</w:t>
            </w:r>
          </w:p>
        </w:tc>
        <w:tc>
          <w:tcPr>
            <w:tcW w:w="2192" w:type="dxa"/>
            <w:gridSpan w:val="3"/>
          </w:tcPr>
          <w:p w:rsidRPr="00C7717E" w:rsidR="00C7717E" w:rsidP="00CC17B8" w:rsidRDefault="00C7717E" w14:paraId="20AD9E63" w14:textId="77777777">
            <w:pPr>
              <w:rPr>
                <w:rFonts w:ascii="Arial" w:hAnsi="Arial" w:cs="Arial"/>
              </w:rPr>
            </w:pPr>
          </w:p>
        </w:tc>
        <w:tc>
          <w:tcPr>
            <w:tcW w:w="6717" w:type="dxa"/>
            <w:gridSpan w:val="2"/>
          </w:tcPr>
          <w:p w:rsidRPr="00C7717E" w:rsidR="00C7717E" w:rsidP="00CC17B8" w:rsidRDefault="00C7717E" w14:paraId="0F6EDAFD" w14:textId="77777777">
            <w:pPr>
              <w:rPr>
                <w:rFonts w:ascii="Arial" w:hAnsi="Arial" w:cs="Arial"/>
              </w:rPr>
            </w:pPr>
            <w:r w:rsidRPr="00C7717E">
              <w:rPr>
                <w:rFonts w:ascii="Arial" w:hAnsi="Arial" w:cs="Arial"/>
              </w:rPr>
              <w:t>The Force should ensure that reconciliations are carried out on balances that they transfer to provide assurance that this has been correctly completed. The Force should ensure that a reconciliation is carried out over all balances following the final transfer to provide assurance that the transfer has been correctly completed and agrees to closing balances and signed accounts.</w:t>
            </w:r>
          </w:p>
          <w:p w:rsidRPr="00C7717E" w:rsidR="00C7717E" w:rsidP="00CC17B8" w:rsidRDefault="00C7717E" w14:paraId="46B88231" w14:textId="33B70606">
            <w:pPr>
              <w:rPr>
                <w:rFonts w:ascii="Arial" w:hAnsi="Arial" w:cs="Arial"/>
                <w:b/>
              </w:rPr>
            </w:pPr>
          </w:p>
        </w:tc>
        <w:tc>
          <w:tcPr>
            <w:tcW w:w="1557" w:type="dxa"/>
            <w:gridSpan w:val="4"/>
          </w:tcPr>
          <w:p w:rsidRPr="00900CB1" w:rsidR="00C7717E" w:rsidP="00CC17B8" w:rsidRDefault="00C7717E" w14:paraId="645F11F5" w14:textId="3ACC10B8">
            <w:pPr>
              <w:jc w:val="center"/>
              <w:rPr>
                <w:rFonts w:ascii="Arial" w:hAnsi="Arial" w:cs="Arial"/>
              </w:rPr>
            </w:pPr>
            <w:r w:rsidRPr="00900CB1">
              <w:rPr>
                <w:rFonts w:ascii="Arial" w:hAnsi="Arial" w:cs="Arial"/>
              </w:rPr>
              <w:t>1</w:t>
            </w:r>
          </w:p>
          <w:p w:rsidRPr="00900CB1" w:rsidR="00C7717E" w:rsidP="00CC17B8" w:rsidRDefault="00C7717E" w14:paraId="2F6765B9" w14:textId="2436C638">
            <w:pPr>
              <w:jc w:val="center"/>
              <w:rPr>
                <w:rFonts w:ascii="Arial" w:hAnsi="Arial" w:cs="Arial"/>
              </w:rPr>
            </w:pPr>
          </w:p>
        </w:tc>
        <w:tc>
          <w:tcPr>
            <w:tcW w:w="1671" w:type="dxa"/>
            <w:gridSpan w:val="2"/>
          </w:tcPr>
          <w:p w:rsidRPr="00900CB1" w:rsidR="00C7717E" w:rsidP="00CC17B8" w:rsidRDefault="00C7717E" w14:paraId="2CB62E78" w14:textId="77777777">
            <w:pPr>
              <w:jc w:val="center"/>
              <w:rPr>
                <w:rFonts w:ascii="Arial" w:hAnsi="Arial" w:cs="Arial"/>
              </w:rPr>
            </w:pPr>
            <w:r w:rsidRPr="00900CB1">
              <w:rPr>
                <w:rFonts w:ascii="Arial" w:hAnsi="Arial" w:cs="Arial"/>
              </w:rPr>
              <w:t>0</w:t>
            </w:r>
          </w:p>
        </w:tc>
      </w:tr>
      <w:tr w:rsidRPr="007A5AF6" w:rsidR="005A55F9" w:rsidTr="00E23655" w14:paraId="6A0F85D8" w14:textId="77777777">
        <w:tc>
          <w:tcPr>
            <w:tcW w:w="1892" w:type="dxa"/>
            <w:gridSpan w:val="2"/>
            <w:shd w:val="clear" w:color="auto" w:fill="D9D9D9" w:themeFill="background1" w:themeFillShade="D9"/>
          </w:tcPr>
          <w:p w:rsidRPr="007A5AF6" w:rsidR="005A55F9" w:rsidP="00CC17B8" w:rsidRDefault="005A55F9" w14:paraId="7233ECDA" w14:textId="77777777">
            <w:pPr>
              <w:rPr>
                <w:rFonts w:ascii="Arial" w:hAnsi="Arial" w:cs="Arial"/>
                <w:b/>
                <w:bCs/>
              </w:rPr>
            </w:pPr>
            <w:r>
              <w:rPr>
                <w:rFonts w:ascii="Arial" w:hAnsi="Arial" w:cs="Arial"/>
                <w:b/>
                <w:bCs/>
              </w:rPr>
              <w:t>March</w:t>
            </w:r>
            <w:r w:rsidRPr="007A5AF6">
              <w:rPr>
                <w:rFonts w:ascii="Arial" w:hAnsi="Arial" w:cs="Arial"/>
                <w:b/>
                <w:bCs/>
              </w:rPr>
              <w:t xml:space="preserve"> 2020</w:t>
            </w:r>
          </w:p>
        </w:tc>
        <w:tc>
          <w:tcPr>
            <w:tcW w:w="12137" w:type="dxa"/>
            <w:gridSpan w:val="11"/>
            <w:shd w:val="clear" w:color="auto" w:fill="D9D9D9" w:themeFill="background1" w:themeFillShade="D9"/>
          </w:tcPr>
          <w:p w:rsidRPr="007A5AF6" w:rsidR="005A55F9" w:rsidP="00CC17B8" w:rsidRDefault="005A55F9" w14:paraId="4D124BF9" w14:textId="598BA99B">
            <w:pPr>
              <w:rPr>
                <w:rFonts w:ascii="Arial" w:hAnsi="Arial" w:cs="Arial"/>
                <w:b/>
                <w:bCs/>
              </w:rPr>
            </w:pPr>
            <w:r>
              <w:rPr>
                <w:rFonts w:ascii="Arial" w:hAnsi="Arial" w:cs="Arial"/>
                <w:b/>
                <w:bCs/>
              </w:rPr>
              <w:t>Health and Safety Follow-up</w:t>
            </w:r>
            <w:r w:rsidRPr="007A5AF6">
              <w:rPr>
                <w:rFonts w:ascii="Arial" w:hAnsi="Arial" w:cs="Arial"/>
                <w:b/>
                <w:bCs/>
              </w:rPr>
              <w:t xml:space="preserve"> 2020</w:t>
            </w:r>
            <w:r w:rsidR="00D15DBB">
              <w:rPr>
                <w:rFonts w:ascii="Arial" w:hAnsi="Arial" w:cs="Arial"/>
                <w:b/>
                <w:bCs/>
              </w:rPr>
              <w:t xml:space="preserve"> - </w:t>
            </w:r>
            <w:r w:rsidR="00AD3DF9">
              <w:rPr>
                <w:rFonts w:ascii="Arial" w:hAnsi="Arial" w:cs="Arial"/>
                <w:b/>
                <w:bCs/>
              </w:rPr>
              <w:t>All Recommendations closed by Mazars</w:t>
            </w:r>
          </w:p>
          <w:p w:rsidRPr="007A5AF6" w:rsidR="005A55F9" w:rsidP="00CC17B8" w:rsidRDefault="005A55F9" w14:paraId="51F97522" w14:textId="77777777">
            <w:pPr>
              <w:jc w:val="center"/>
              <w:rPr>
                <w:rFonts w:ascii="Arial" w:hAnsi="Arial" w:cs="Arial"/>
                <w:b/>
                <w:bCs/>
              </w:rPr>
            </w:pPr>
          </w:p>
        </w:tc>
      </w:tr>
      <w:tr w:rsidRPr="007A5AF6" w:rsidR="009D3786" w:rsidTr="00E23655" w14:paraId="64034460" w14:textId="77777777">
        <w:tc>
          <w:tcPr>
            <w:tcW w:w="1892" w:type="dxa"/>
            <w:gridSpan w:val="2"/>
            <w:shd w:val="clear" w:color="auto" w:fill="D9D9D9" w:themeFill="background1" w:themeFillShade="D9"/>
          </w:tcPr>
          <w:p w:rsidRPr="007A5AF6" w:rsidR="009D3786" w:rsidP="00CC17B8" w:rsidRDefault="009D3786" w14:paraId="3DA1ECC7" w14:textId="419972E0">
            <w:pPr>
              <w:rPr>
                <w:rFonts w:ascii="Arial" w:hAnsi="Arial" w:cs="Arial"/>
                <w:b/>
                <w:bCs/>
              </w:rPr>
            </w:pPr>
            <w:r>
              <w:rPr>
                <w:rFonts w:ascii="Arial" w:hAnsi="Arial" w:cs="Arial"/>
                <w:b/>
                <w:bCs/>
              </w:rPr>
              <w:t>April</w:t>
            </w:r>
            <w:r w:rsidRPr="007A5AF6">
              <w:rPr>
                <w:rFonts w:ascii="Arial" w:hAnsi="Arial" w:cs="Arial"/>
                <w:b/>
                <w:bCs/>
              </w:rPr>
              <w:t xml:space="preserve"> 2020</w:t>
            </w:r>
          </w:p>
        </w:tc>
        <w:tc>
          <w:tcPr>
            <w:tcW w:w="12137" w:type="dxa"/>
            <w:gridSpan w:val="11"/>
            <w:shd w:val="clear" w:color="auto" w:fill="D9D9D9" w:themeFill="background1" w:themeFillShade="D9"/>
          </w:tcPr>
          <w:p w:rsidRPr="007A5AF6" w:rsidR="009D3786" w:rsidP="00CC17B8" w:rsidRDefault="009D3786" w14:paraId="08055B40" w14:textId="08D01717">
            <w:pPr>
              <w:rPr>
                <w:rFonts w:ascii="Arial" w:hAnsi="Arial" w:cs="Arial"/>
                <w:b/>
                <w:bCs/>
              </w:rPr>
            </w:pPr>
            <w:r>
              <w:rPr>
                <w:rFonts w:ascii="Arial" w:hAnsi="Arial" w:cs="Arial"/>
                <w:b/>
                <w:bCs/>
              </w:rPr>
              <w:t xml:space="preserve">Programme Management </w:t>
            </w:r>
            <w:r w:rsidRPr="007A5AF6">
              <w:rPr>
                <w:rFonts w:ascii="Arial" w:hAnsi="Arial" w:cs="Arial"/>
                <w:b/>
                <w:bCs/>
              </w:rPr>
              <w:t>2020</w:t>
            </w:r>
            <w:r w:rsidR="00D15DBB">
              <w:rPr>
                <w:rFonts w:ascii="Arial" w:hAnsi="Arial" w:cs="Arial"/>
                <w:b/>
                <w:bCs/>
              </w:rPr>
              <w:t xml:space="preserve"> – All Recommendations closed by Mazars</w:t>
            </w:r>
          </w:p>
          <w:p w:rsidRPr="007A5AF6" w:rsidR="009D3786" w:rsidP="00CC17B8" w:rsidRDefault="009D3786" w14:paraId="508A4844" w14:textId="77777777">
            <w:pPr>
              <w:jc w:val="center"/>
              <w:rPr>
                <w:rFonts w:ascii="Arial" w:hAnsi="Arial" w:cs="Arial"/>
                <w:b/>
                <w:bCs/>
              </w:rPr>
            </w:pPr>
          </w:p>
        </w:tc>
      </w:tr>
      <w:tr w:rsidRPr="007A5AF6" w:rsidR="00FE323D" w:rsidTr="00E23655" w14:paraId="3A7D30B1" w14:textId="77777777">
        <w:tc>
          <w:tcPr>
            <w:tcW w:w="1892" w:type="dxa"/>
            <w:gridSpan w:val="2"/>
            <w:shd w:val="clear" w:color="auto" w:fill="D9D9D9" w:themeFill="background1" w:themeFillShade="D9"/>
          </w:tcPr>
          <w:p w:rsidRPr="007A5AF6" w:rsidR="00FE323D" w:rsidP="005A4666" w:rsidRDefault="00FE323D" w14:paraId="53DE2A32" w14:textId="5B1417EF">
            <w:pPr>
              <w:rPr>
                <w:rFonts w:ascii="Arial" w:hAnsi="Arial" w:cs="Arial"/>
                <w:b/>
                <w:bCs/>
              </w:rPr>
            </w:pPr>
            <w:r w:rsidRPr="007A5AF6">
              <w:rPr>
                <w:rFonts w:ascii="Arial" w:hAnsi="Arial" w:cs="Arial"/>
                <w:b/>
                <w:bCs/>
              </w:rPr>
              <w:t>Sep 2020</w:t>
            </w:r>
          </w:p>
        </w:tc>
        <w:tc>
          <w:tcPr>
            <w:tcW w:w="12137" w:type="dxa"/>
            <w:gridSpan w:val="11"/>
            <w:shd w:val="clear" w:color="auto" w:fill="D9D9D9" w:themeFill="background1" w:themeFillShade="D9"/>
          </w:tcPr>
          <w:p w:rsidRPr="007A5AF6" w:rsidR="00FE323D" w:rsidP="00FE323D" w:rsidRDefault="00FE323D" w14:paraId="0013A18C" w14:textId="5DF682F6">
            <w:pPr>
              <w:rPr>
                <w:rFonts w:ascii="Arial" w:hAnsi="Arial" w:cs="Arial"/>
                <w:b/>
                <w:bCs/>
              </w:rPr>
            </w:pPr>
            <w:r w:rsidRPr="007A5AF6">
              <w:rPr>
                <w:rFonts w:ascii="Arial" w:hAnsi="Arial" w:cs="Arial"/>
                <w:b/>
                <w:bCs/>
              </w:rPr>
              <w:t>Victims’ Code of Practice September 2020</w:t>
            </w:r>
            <w:r w:rsidR="00B957EE">
              <w:rPr>
                <w:rFonts w:ascii="Arial" w:hAnsi="Arial" w:cs="Arial"/>
                <w:b/>
                <w:bCs/>
              </w:rPr>
              <w:t xml:space="preserve"> –</w:t>
            </w:r>
            <w:r w:rsidR="00D15DBB">
              <w:rPr>
                <w:rFonts w:ascii="Arial" w:hAnsi="Arial" w:cs="Arial"/>
                <w:b/>
                <w:bCs/>
              </w:rPr>
              <w:t xml:space="preserve"> </w:t>
            </w:r>
            <w:r w:rsidR="00B957EE">
              <w:rPr>
                <w:rFonts w:ascii="Arial" w:hAnsi="Arial" w:cs="Arial"/>
                <w:b/>
                <w:bCs/>
              </w:rPr>
              <w:t>All Recommendations closed by Mazars</w:t>
            </w:r>
          </w:p>
          <w:p w:rsidRPr="007A5AF6" w:rsidR="00FE323D" w:rsidP="005A4666" w:rsidRDefault="00FE323D" w14:paraId="5D0C4342" w14:textId="77777777">
            <w:pPr>
              <w:jc w:val="center"/>
              <w:rPr>
                <w:rFonts w:ascii="Arial" w:hAnsi="Arial" w:cs="Arial"/>
                <w:b/>
                <w:bCs/>
              </w:rPr>
            </w:pPr>
          </w:p>
        </w:tc>
      </w:tr>
      <w:tr w:rsidRPr="007A5AF6" w:rsidR="00FE323D" w:rsidTr="00E23655" w14:paraId="4AC965CD" w14:textId="77777777">
        <w:tc>
          <w:tcPr>
            <w:tcW w:w="1892" w:type="dxa"/>
            <w:gridSpan w:val="2"/>
            <w:shd w:val="clear" w:color="auto" w:fill="D9D9D9" w:themeFill="background1" w:themeFillShade="D9"/>
          </w:tcPr>
          <w:p w:rsidRPr="007A5AF6" w:rsidR="00FE323D" w:rsidP="00FE323D" w:rsidRDefault="00FE323D" w14:paraId="293A6707" w14:textId="621D5418">
            <w:pPr>
              <w:rPr>
                <w:rFonts w:ascii="Arial" w:hAnsi="Arial" w:cs="Arial"/>
                <w:b/>
                <w:bCs/>
              </w:rPr>
            </w:pPr>
            <w:r w:rsidRPr="007A5AF6">
              <w:rPr>
                <w:rFonts w:ascii="Arial" w:hAnsi="Arial" w:cs="Arial"/>
                <w:b/>
                <w:bCs/>
              </w:rPr>
              <w:t>Oct 2020</w:t>
            </w:r>
          </w:p>
        </w:tc>
        <w:tc>
          <w:tcPr>
            <w:tcW w:w="12137" w:type="dxa"/>
            <w:gridSpan w:val="11"/>
            <w:shd w:val="clear" w:color="auto" w:fill="D9D9D9" w:themeFill="background1" w:themeFillShade="D9"/>
          </w:tcPr>
          <w:p w:rsidRPr="007A5AF6" w:rsidR="00FE323D" w:rsidP="00FE323D" w:rsidRDefault="00FE323D" w14:paraId="3B459F41" w14:textId="2E058034">
            <w:pPr>
              <w:spacing w:line="240" w:lineRule="exact"/>
              <w:rPr>
                <w:rFonts w:ascii="Arial" w:hAnsi="Arial" w:cs="Arial"/>
                <w:b/>
                <w:bCs/>
              </w:rPr>
            </w:pPr>
            <w:r w:rsidRPr="007A5AF6">
              <w:rPr>
                <w:rFonts w:ascii="Arial" w:hAnsi="Arial" w:cs="Arial"/>
                <w:b/>
                <w:bCs/>
              </w:rPr>
              <w:t>Estates Management Oct</w:t>
            </w:r>
            <w:r w:rsidR="007E6885">
              <w:rPr>
                <w:rFonts w:ascii="Arial" w:hAnsi="Arial" w:cs="Arial"/>
                <w:b/>
                <w:bCs/>
              </w:rPr>
              <w:t xml:space="preserve">ober </w:t>
            </w:r>
            <w:r w:rsidRPr="007A5AF6">
              <w:rPr>
                <w:rFonts w:ascii="Arial" w:hAnsi="Arial" w:cs="Arial"/>
                <w:b/>
                <w:bCs/>
              </w:rPr>
              <w:t>2020</w:t>
            </w:r>
          </w:p>
          <w:p w:rsidRPr="007A5AF6" w:rsidR="00FE323D" w:rsidP="00FE323D" w:rsidRDefault="00FE323D" w14:paraId="1ED0C95B" w14:textId="77777777">
            <w:pPr>
              <w:jc w:val="center"/>
              <w:rPr>
                <w:rFonts w:ascii="Arial" w:hAnsi="Arial" w:cs="Arial"/>
                <w:b/>
                <w:bCs/>
              </w:rPr>
            </w:pPr>
          </w:p>
        </w:tc>
      </w:tr>
      <w:tr w:rsidRPr="007E6885" w:rsidR="007E6885" w:rsidTr="002A2904" w14:paraId="2A981EB4" w14:textId="77777777">
        <w:tc>
          <w:tcPr>
            <w:tcW w:w="1892" w:type="dxa"/>
            <w:gridSpan w:val="2"/>
          </w:tcPr>
          <w:p w:rsidRPr="007E6885" w:rsidR="00FE323D" w:rsidP="00FE323D" w:rsidRDefault="00B957EE" w14:paraId="77DFE8A6" w14:textId="3C5710C5">
            <w:pPr>
              <w:rPr>
                <w:rFonts w:ascii="Arial" w:hAnsi="Arial" w:cs="Arial"/>
              </w:rPr>
            </w:pPr>
            <w:r w:rsidRPr="007E6885">
              <w:rPr>
                <w:rFonts w:ascii="Arial" w:hAnsi="Arial" w:cs="Arial"/>
              </w:rPr>
              <w:t>CC/64bc/91120</w:t>
            </w:r>
          </w:p>
        </w:tc>
        <w:tc>
          <w:tcPr>
            <w:tcW w:w="2256" w:type="dxa"/>
            <w:gridSpan w:val="4"/>
          </w:tcPr>
          <w:p w:rsidRPr="007E6885" w:rsidR="00FE323D" w:rsidP="00FE323D" w:rsidRDefault="00FE323D" w14:paraId="63ED2B6D" w14:textId="77777777">
            <w:pPr>
              <w:spacing w:line="240" w:lineRule="exact"/>
              <w:rPr>
                <w:rFonts w:ascii="Arial" w:hAnsi="Arial" w:cs="Arial"/>
              </w:rPr>
            </w:pPr>
          </w:p>
        </w:tc>
        <w:tc>
          <w:tcPr>
            <w:tcW w:w="6719" w:type="dxa"/>
            <w:gridSpan w:val="2"/>
          </w:tcPr>
          <w:p w:rsidRPr="007E6885" w:rsidR="00FE323D" w:rsidP="00FE323D" w:rsidRDefault="00FE323D" w14:paraId="7AF9ABF3" w14:textId="77777777">
            <w:pPr>
              <w:rPr>
                <w:rFonts w:ascii="Arial" w:hAnsi="Arial" w:cs="Arial"/>
              </w:rPr>
            </w:pPr>
            <w:r w:rsidRPr="007E6885">
              <w:rPr>
                <w:rFonts w:ascii="Arial" w:hAnsi="Arial" w:cs="Arial"/>
              </w:rPr>
              <w:t>The Force should report non-compliance with the SLA in the month in which the SR falls non-compliant, as opposed to amending historical data. This will ensure that the Force maintain the integrity of the reported KPI figure.</w:t>
            </w:r>
          </w:p>
          <w:p w:rsidRPr="007E6885" w:rsidR="007A5AF6" w:rsidP="00FE323D" w:rsidRDefault="007A5AF6" w14:paraId="1CA7F002" w14:textId="21A59A75">
            <w:pPr>
              <w:rPr>
                <w:rFonts w:ascii="Arial" w:hAnsi="Arial" w:cs="Arial"/>
                <w:b/>
              </w:rPr>
            </w:pPr>
          </w:p>
        </w:tc>
        <w:tc>
          <w:tcPr>
            <w:tcW w:w="1515" w:type="dxa"/>
            <w:gridSpan w:val="4"/>
          </w:tcPr>
          <w:p w:rsidRPr="007E6885" w:rsidR="00FE323D" w:rsidP="00FE323D" w:rsidRDefault="007E6885" w14:paraId="71AF366B" w14:textId="4E58C611">
            <w:pPr>
              <w:jc w:val="center"/>
              <w:rPr>
                <w:rFonts w:ascii="Arial" w:hAnsi="Arial" w:cs="Arial"/>
              </w:rPr>
            </w:pPr>
            <w:r>
              <w:rPr>
                <w:rFonts w:ascii="Arial" w:hAnsi="Arial" w:cs="Arial"/>
              </w:rPr>
              <w:t>2</w:t>
            </w:r>
          </w:p>
        </w:tc>
        <w:tc>
          <w:tcPr>
            <w:tcW w:w="1647" w:type="dxa"/>
          </w:tcPr>
          <w:p w:rsidRPr="007E6885" w:rsidR="00FE323D" w:rsidP="00FE323D" w:rsidRDefault="007E6885" w14:paraId="69C7A1D4" w14:textId="02D5B62B">
            <w:pPr>
              <w:jc w:val="center"/>
              <w:rPr>
                <w:rFonts w:ascii="Arial" w:hAnsi="Arial" w:cs="Arial"/>
              </w:rPr>
            </w:pPr>
            <w:r>
              <w:rPr>
                <w:rFonts w:ascii="Arial" w:hAnsi="Arial" w:cs="Arial"/>
              </w:rPr>
              <w:t>0</w:t>
            </w:r>
          </w:p>
        </w:tc>
      </w:tr>
      <w:tr w:rsidRPr="007A5AF6" w:rsidR="00FE323D" w:rsidTr="002A2904" w14:paraId="309DAECD" w14:textId="77777777">
        <w:tc>
          <w:tcPr>
            <w:tcW w:w="1892" w:type="dxa"/>
            <w:gridSpan w:val="2"/>
          </w:tcPr>
          <w:p w:rsidRPr="007A5AF6" w:rsidR="00FE323D" w:rsidP="00FE323D" w:rsidRDefault="00B957EE" w14:paraId="28DEAD51" w14:textId="5A665698">
            <w:pPr>
              <w:rPr>
                <w:rFonts w:ascii="Arial" w:hAnsi="Arial" w:cs="Arial"/>
              </w:rPr>
            </w:pPr>
            <w:r>
              <w:rPr>
                <w:rFonts w:ascii="Arial" w:hAnsi="Arial" w:cs="Arial"/>
              </w:rPr>
              <w:t>CC/c4b3/91120</w:t>
            </w:r>
          </w:p>
        </w:tc>
        <w:tc>
          <w:tcPr>
            <w:tcW w:w="2256" w:type="dxa"/>
            <w:gridSpan w:val="4"/>
          </w:tcPr>
          <w:p w:rsidRPr="007A5AF6" w:rsidR="00FE323D" w:rsidP="00FE323D" w:rsidRDefault="00FE323D" w14:paraId="01ABD2AC" w14:textId="77777777">
            <w:pPr>
              <w:spacing w:line="240" w:lineRule="exact"/>
              <w:rPr>
                <w:rFonts w:ascii="Arial" w:hAnsi="Arial" w:cs="Arial"/>
              </w:rPr>
            </w:pPr>
          </w:p>
        </w:tc>
        <w:tc>
          <w:tcPr>
            <w:tcW w:w="6719" w:type="dxa"/>
            <w:gridSpan w:val="2"/>
          </w:tcPr>
          <w:p w:rsidR="007A5AF6" w:rsidP="00FE323D" w:rsidRDefault="00FE323D" w14:paraId="2DC62F61" w14:textId="77777777">
            <w:pPr>
              <w:autoSpaceDE w:val="0"/>
              <w:autoSpaceDN w:val="0"/>
              <w:adjustRightInd w:val="0"/>
              <w:jc w:val="both"/>
              <w:rPr>
                <w:rFonts w:ascii="Arial" w:hAnsi="Arial" w:cs="Arial"/>
              </w:rPr>
            </w:pPr>
            <w:r w:rsidRPr="007A5AF6">
              <w:rPr>
                <w:rFonts w:ascii="Arial" w:hAnsi="Arial" w:cs="Arial"/>
              </w:rPr>
              <w:t>The Force should consider introducing a suite of KPI’s to effectively monitor the performance of the Estates and Facilities department.</w:t>
            </w:r>
          </w:p>
          <w:p w:rsidRPr="007A5AF6" w:rsidR="00FE323D" w:rsidP="00FE323D" w:rsidRDefault="00FE323D" w14:paraId="57468056" w14:textId="339D1F4A">
            <w:pPr>
              <w:autoSpaceDE w:val="0"/>
              <w:autoSpaceDN w:val="0"/>
              <w:adjustRightInd w:val="0"/>
              <w:jc w:val="both"/>
              <w:rPr>
                <w:rFonts w:ascii="Arial" w:hAnsi="Arial" w:cs="Arial"/>
              </w:rPr>
            </w:pPr>
            <w:r w:rsidRPr="007A5AF6">
              <w:rPr>
                <w:rFonts w:ascii="Arial" w:hAnsi="Arial" w:cs="Arial"/>
              </w:rPr>
              <w:t>Furthermore, this will enable the Force to demonstrate value for money from the expenditure incurred in fulfilling the Capital and Planned Maintenance Programme. This suite of KPI’s could include but not be limited to:</w:t>
            </w:r>
          </w:p>
          <w:p w:rsidRPr="007A5AF6" w:rsidR="00FE323D" w:rsidP="00FE323D" w:rsidRDefault="00FE323D" w14:paraId="46B65535" w14:textId="4293A820">
            <w:pPr>
              <w:numPr>
                <w:ilvl w:val="0"/>
                <w:numId w:val="6"/>
              </w:numPr>
              <w:autoSpaceDE w:val="0"/>
              <w:autoSpaceDN w:val="0"/>
              <w:adjustRightInd w:val="0"/>
              <w:ind w:left="459"/>
              <w:contextualSpacing/>
              <w:jc w:val="both"/>
              <w:rPr>
                <w:rFonts w:ascii="Arial" w:hAnsi="Arial" w:cs="Arial"/>
              </w:rPr>
            </w:pPr>
            <w:r w:rsidRPr="007A5AF6">
              <w:rPr>
                <w:rFonts w:ascii="Arial" w:hAnsi="Arial" w:cs="Arial"/>
              </w:rPr>
              <w:lastRenderedPageBreak/>
              <w:t xml:space="preserve">Monitoring the number of repairs completed right the first time by contractors fulfilling </w:t>
            </w:r>
            <w:r w:rsidRPr="007A5AF6" w:rsidR="00FD3080">
              <w:rPr>
                <w:rFonts w:ascii="Arial" w:hAnsi="Arial" w:cs="Arial"/>
              </w:rPr>
              <w:t>SR’s.</w:t>
            </w:r>
          </w:p>
          <w:p w:rsidRPr="007A5AF6" w:rsidR="00FE323D" w:rsidP="00FE323D" w:rsidRDefault="00FE323D" w14:paraId="5BEFB6A8" w14:textId="77777777">
            <w:pPr>
              <w:numPr>
                <w:ilvl w:val="0"/>
                <w:numId w:val="6"/>
              </w:numPr>
              <w:autoSpaceDE w:val="0"/>
              <w:autoSpaceDN w:val="0"/>
              <w:adjustRightInd w:val="0"/>
              <w:ind w:left="459"/>
              <w:contextualSpacing/>
              <w:jc w:val="both"/>
              <w:rPr>
                <w:rFonts w:ascii="Arial" w:hAnsi="Arial" w:cs="Arial"/>
              </w:rPr>
            </w:pPr>
            <w:r w:rsidRPr="007A5AF6">
              <w:rPr>
                <w:rFonts w:ascii="Arial" w:hAnsi="Arial" w:cs="Arial"/>
              </w:rPr>
              <w:t>Recording and reporting on the results of customer satisfaction surveys for newly built and recently refurbished projects and;</w:t>
            </w:r>
          </w:p>
          <w:p w:rsidR="00D92D39" w:rsidP="00FE323D" w:rsidRDefault="00FE323D" w14:paraId="727DE7D7" w14:textId="44471002">
            <w:pPr>
              <w:rPr>
                <w:rFonts w:ascii="Arial" w:hAnsi="Arial" w:cs="Arial"/>
              </w:rPr>
            </w:pPr>
            <w:r w:rsidRPr="007A5AF6">
              <w:rPr>
                <w:rFonts w:ascii="Arial" w:hAnsi="Arial" w:cs="Arial"/>
              </w:rPr>
              <w:t>Monitoring the number of SR’s received for newly built or recently refurbished projects in the first 12 months following completion.</w:t>
            </w:r>
          </w:p>
          <w:p w:rsidRPr="007A5AF6" w:rsidR="00FD3080" w:rsidP="00FE323D" w:rsidRDefault="00FD3080" w14:paraId="37BDC695" w14:textId="55D11F4C">
            <w:pPr>
              <w:rPr>
                <w:rFonts w:ascii="Arial" w:hAnsi="Arial" w:cs="Arial"/>
                <w:b/>
              </w:rPr>
            </w:pPr>
          </w:p>
        </w:tc>
        <w:tc>
          <w:tcPr>
            <w:tcW w:w="1515" w:type="dxa"/>
            <w:gridSpan w:val="4"/>
          </w:tcPr>
          <w:p w:rsidRPr="007A5AF6" w:rsidR="00FE323D" w:rsidP="00FE323D" w:rsidRDefault="00FE323D" w14:paraId="06782185" w14:textId="77777777">
            <w:pPr>
              <w:jc w:val="center"/>
              <w:rPr>
                <w:rFonts w:ascii="Arial" w:hAnsi="Arial" w:cs="Arial"/>
              </w:rPr>
            </w:pPr>
          </w:p>
        </w:tc>
        <w:tc>
          <w:tcPr>
            <w:tcW w:w="1647" w:type="dxa"/>
          </w:tcPr>
          <w:p w:rsidRPr="007A5AF6" w:rsidR="00FE323D" w:rsidP="00FE323D" w:rsidRDefault="00FE323D" w14:paraId="49AA9833" w14:textId="77777777">
            <w:pPr>
              <w:jc w:val="center"/>
              <w:rPr>
                <w:rFonts w:ascii="Arial" w:hAnsi="Arial" w:cs="Arial"/>
              </w:rPr>
            </w:pPr>
          </w:p>
        </w:tc>
      </w:tr>
      <w:tr w:rsidRPr="007A5AF6" w:rsidR="00FE323D" w:rsidTr="00E23655" w14:paraId="0230D815" w14:textId="77777777">
        <w:tc>
          <w:tcPr>
            <w:tcW w:w="1892" w:type="dxa"/>
            <w:gridSpan w:val="2"/>
            <w:shd w:val="clear" w:color="auto" w:fill="D9D9D9" w:themeFill="background1" w:themeFillShade="D9"/>
          </w:tcPr>
          <w:p w:rsidRPr="007A5AF6" w:rsidR="00FE323D" w:rsidP="00FE323D" w:rsidRDefault="00FE323D" w14:paraId="227FC028" w14:textId="19AE498C">
            <w:pPr>
              <w:rPr>
                <w:rFonts w:ascii="Arial" w:hAnsi="Arial" w:cs="Arial"/>
                <w:b/>
                <w:bCs/>
              </w:rPr>
            </w:pPr>
            <w:r w:rsidRPr="007A5AF6">
              <w:rPr>
                <w:rFonts w:ascii="Arial" w:hAnsi="Arial" w:cs="Arial"/>
                <w:b/>
                <w:bCs/>
              </w:rPr>
              <w:t>Dec 2020</w:t>
            </w:r>
          </w:p>
        </w:tc>
        <w:tc>
          <w:tcPr>
            <w:tcW w:w="12137" w:type="dxa"/>
            <w:gridSpan w:val="11"/>
            <w:shd w:val="clear" w:color="auto" w:fill="D9D9D9" w:themeFill="background1" w:themeFillShade="D9"/>
          </w:tcPr>
          <w:p w:rsidRPr="007A5AF6" w:rsidR="00FE323D" w:rsidP="00FE323D" w:rsidRDefault="00FE323D" w14:paraId="75A63E33" w14:textId="77777777">
            <w:pPr>
              <w:rPr>
                <w:rFonts w:ascii="Arial" w:hAnsi="Arial" w:cs="Arial"/>
                <w:b/>
                <w:bCs/>
              </w:rPr>
            </w:pPr>
            <w:r w:rsidRPr="007A5AF6">
              <w:rPr>
                <w:rFonts w:ascii="Arial" w:hAnsi="Arial" w:cs="Arial"/>
                <w:b/>
                <w:bCs/>
              </w:rPr>
              <w:t>Workforce Planning December 2020</w:t>
            </w:r>
          </w:p>
          <w:p w:rsidRPr="007A5AF6" w:rsidR="00FE323D" w:rsidP="00FE323D" w:rsidRDefault="00FE323D" w14:paraId="1BD980D9" w14:textId="47AA91C0">
            <w:pPr>
              <w:rPr>
                <w:rFonts w:ascii="Arial" w:hAnsi="Arial" w:cs="Arial"/>
                <w:b/>
                <w:bCs/>
              </w:rPr>
            </w:pPr>
          </w:p>
        </w:tc>
      </w:tr>
      <w:tr w:rsidRPr="007A5AF6" w:rsidR="00FE323D" w:rsidTr="002A2904" w14:paraId="0E2454E7" w14:textId="77777777">
        <w:tc>
          <w:tcPr>
            <w:tcW w:w="1892" w:type="dxa"/>
            <w:gridSpan w:val="2"/>
          </w:tcPr>
          <w:p w:rsidRPr="007A5AF6" w:rsidR="00FE323D" w:rsidP="00FE323D" w:rsidRDefault="00B957EE" w14:paraId="737096E9" w14:textId="70D57A6D">
            <w:pPr>
              <w:rPr>
                <w:rFonts w:ascii="Arial" w:hAnsi="Arial" w:cs="Arial"/>
              </w:rPr>
            </w:pPr>
            <w:r>
              <w:rPr>
                <w:rFonts w:ascii="Arial" w:hAnsi="Arial" w:cs="Arial"/>
              </w:rPr>
              <w:t>MS/34a9/231220</w:t>
            </w:r>
          </w:p>
        </w:tc>
        <w:tc>
          <w:tcPr>
            <w:tcW w:w="2256" w:type="dxa"/>
            <w:gridSpan w:val="4"/>
          </w:tcPr>
          <w:p w:rsidRPr="007A5AF6" w:rsidR="00FE323D" w:rsidP="00FE323D" w:rsidRDefault="00FE323D" w14:paraId="415A627A" w14:textId="77777777">
            <w:pPr>
              <w:spacing w:line="240" w:lineRule="exact"/>
              <w:rPr>
                <w:rFonts w:ascii="Arial" w:hAnsi="Arial" w:cs="Arial"/>
              </w:rPr>
            </w:pPr>
          </w:p>
        </w:tc>
        <w:tc>
          <w:tcPr>
            <w:tcW w:w="6719" w:type="dxa"/>
            <w:gridSpan w:val="2"/>
          </w:tcPr>
          <w:p w:rsidRPr="007A5AF6" w:rsidR="00FE323D" w:rsidP="00FE323D" w:rsidRDefault="00FE323D" w14:paraId="436052E6" w14:textId="77777777">
            <w:pPr>
              <w:spacing w:after="120" w:line="284" w:lineRule="auto"/>
              <w:ind w:right="59"/>
              <w:rPr>
                <w:rFonts w:ascii="Arial" w:hAnsi="Arial" w:cs="Arial"/>
              </w:rPr>
            </w:pPr>
            <w:r w:rsidRPr="007A5AF6">
              <w:rPr>
                <w:rFonts w:ascii="Arial" w:hAnsi="Arial" w:cs="Arial"/>
              </w:rPr>
              <w:t xml:space="preserve">The Force should complete a mapping exercise and produce a centralised log of all key roles across the organisation, including non-leadership roles which are critical or specialised. </w:t>
            </w:r>
          </w:p>
          <w:p w:rsidR="00FE323D" w:rsidP="00FE323D" w:rsidRDefault="00FE323D" w14:paraId="16A5EDF3" w14:textId="77777777">
            <w:pPr>
              <w:rPr>
                <w:rFonts w:ascii="Arial" w:hAnsi="Arial" w:cs="Arial"/>
              </w:rPr>
            </w:pPr>
            <w:r w:rsidRPr="007A5AF6">
              <w:rPr>
                <w:rFonts w:ascii="Arial" w:hAnsi="Arial" w:cs="Arial"/>
              </w:rPr>
              <w:t>Alongside this exercise, individuals who are able to assume these positions in a short / medium / long term capacity should be highlighted.</w:t>
            </w:r>
          </w:p>
          <w:p w:rsidRPr="007A5AF6" w:rsidR="00FD3080" w:rsidP="00FE323D" w:rsidRDefault="00FD3080" w14:paraId="4380C9A6" w14:textId="75CEB941">
            <w:pPr>
              <w:rPr>
                <w:rFonts w:ascii="Arial" w:hAnsi="Arial" w:cs="Arial"/>
                <w:b/>
              </w:rPr>
            </w:pPr>
          </w:p>
        </w:tc>
        <w:tc>
          <w:tcPr>
            <w:tcW w:w="1515" w:type="dxa"/>
            <w:gridSpan w:val="4"/>
          </w:tcPr>
          <w:p w:rsidRPr="007A5AF6" w:rsidR="00FE323D" w:rsidP="00FE323D" w:rsidRDefault="00B957EE" w14:paraId="3EC4AB4A" w14:textId="39C6A370">
            <w:pPr>
              <w:jc w:val="center"/>
              <w:rPr>
                <w:rFonts w:ascii="Arial" w:hAnsi="Arial" w:cs="Arial"/>
              </w:rPr>
            </w:pPr>
            <w:r>
              <w:rPr>
                <w:rFonts w:ascii="Arial" w:hAnsi="Arial" w:cs="Arial"/>
              </w:rPr>
              <w:t>1</w:t>
            </w:r>
          </w:p>
        </w:tc>
        <w:tc>
          <w:tcPr>
            <w:tcW w:w="1647" w:type="dxa"/>
          </w:tcPr>
          <w:p w:rsidRPr="007A5AF6" w:rsidR="00FE323D" w:rsidP="00FE323D" w:rsidRDefault="00B957EE" w14:paraId="19EC0263" w14:textId="100BD70A">
            <w:pPr>
              <w:jc w:val="center"/>
              <w:rPr>
                <w:rFonts w:ascii="Arial" w:hAnsi="Arial" w:cs="Arial"/>
              </w:rPr>
            </w:pPr>
            <w:r>
              <w:rPr>
                <w:rFonts w:ascii="Arial" w:hAnsi="Arial" w:cs="Arial"/>
              </w:rPr>
              <w:t>1</w:t>
            </w:r>
          </w:p>
        </w:tc>
      </w:tr>
      <w:tr w:rsidRPr="007A5AF6" w:rsidR="00FE323D" w:rsidTr="00E23655" w14:paraId="5A3D33FB" w14:textId="77777777">
        <w:tc>
          <w:tcPr>
            <w:tcW w:w="1892" w:type="dxa"/>
            <w:gridSpan w:val="2"/>
            <w:shd w:val="clear" w:color="auto" w:fill="D9D9D9" w:themeFill="background1" w:themeFillShade="D9"/>
          </w:tcPr>
          <w:p w:rsidRPr="007A5AF6" w:rsidR="00FE323D" w:rsidP="00FE323D" w:rsidRDefault="00FE323D" w14:paraId="6CC85899" w14:textId="0573E49A">
            <w:pPr>
              <w:rPr>
                <w:rFonts w:ascii="Arial" w:hAnsi="Arial" w:cs="Arial"/>
                <w:b/>
                <w:bCs/>
              </w:rPr>
            </w:pPr>
            <w:r w:rsidRPr="007A5AF6">
              <w:rPr>
                <w:rFonts w:ascii="Arial" w:hAnsi="Arial" w:cs="Arial"/>
                <w:b/>
                <w:bCs/>
              </w:rPr>
              <w:t>Jan 2021</w:t>
            </w:r>
          </w:p>
        </w:tc>
        <w:tc>
          <w:tcPr>
            <w:tcW w:w="12137" w:type="dxa"/>
            <w:gridSpan w:val="11"/>
            <w:shd w:val="clear" w:color="auto" w:fill="D9D9D9" w:themeFill="background1" w:themeFillShade="D9"/>
          </w:tcPr>
          <w:p w:rsidRPr="007A5AF6" w:rsidR="00D15DBB" w:rsidP="00D15DBB" w:rsidRDefault="00FE323D" w14:paraId="37E5DC2E" w14:textId="24141EAA">
            <w:pPr>
              <w:rPr>
                <w:rFonts w:ascii="Arial" w:hAnsi="Arial" w:cs="Arial"/>
                <w:b/>
                <w:bCs/>
              </w:rPr>
            </w:pPr>
            <w:r w:rsidRPr="007A5AF6">
              <w:rPr>
                <w:rFonts w:ascii="Arial" w:hAnsi="Arial" w:cs="Arial"/>
                <w:b/>
                <w:bCs/>
              </w:rPr>
              <w:t>Information Assurance Follow up January 2021</w:t>
            </w:r>
            <w:r w:rsidR="007E6885">
              <w:rPr>
                <w:rFonts w:ascii="Arial" w:hAnsi="Arial" w:cs="Arial"/>
                <w:b/>
                <w:bCs/>
              </w:rPr>
              <w:t xml:space="preserve"> </w:t>
            </w:r>
            <w:r w:rsidR="00D15DBB">
              <w:rPr>
                <w:rFonts w:ascii="Arial" w:hAnsi="Arial" w:cs="Arial"/>
                <w:b/>
                <w:bCs/>
              </w:rPr>
              <w:t>–</w:t>
            </w:r>
            <w:r w:rsidR="007E6885">
              <w:rPr>
                <w:rFonts w:ascii="Arial" w:hAnsi="Arial" w:cs="Arial"/>
                <w:b/>
                <w:bCs/>
              </w:rPr>
              <w:t xml:space="preserve"> </w:t>
            </w:r>
            <w:r w:rsidR="00D15DBB">
              <w:rPr>
                <w:rFonts w:ascii="Arial" w:hAnsi="Arial" w:cs="Arial"/>
                <w:b/>
                <w:bCs/>
              </w:rPr>
              <w:t>All Recommendations closed by Mazars</w:t>
            </w:r>
          </w:p>
          <w:p w:rsidRPr="007A5AF6" w:rsidR="00FE323D" w:rsidP="00FE323D" w:rsidRDefault="00FE323D" w14:paraId="060A7528" w14:textId="79E886D2">
            <w:pPr>
              <w:rPr>
                <w:rFonts w:ascii="Arial" w:hAnsi="Arial" w:cs="Arial"/>
                <w:b/>
                <w:bCs/>
              </w:rPr>
            </w:pPr>
          </w:p>
        </w:tc>
      </w:tr>
      <w:tr w:rsidRPr="007A5AF6" w:rsidR="00995A5A" w:rsidTr="00E23655" w14:paraId="380962A1" w14:textId="77777777">
        <w:tc>
          <w:tcPr>
            <w:tcW w:w="1892" w:type="dxa"/>
            <w:gridSpan w:val="2"/>
            <w:shd w:val="clear" w:color="auto" w:fill="D9D9D9" w:themeFill="background1" w:themeFillShade="D9"/>
          </w:tcPr>
          <w:p w:rsidRPr="009A7AD4" w:rsidR="00995A5A" w:rsidP="00995A5A" w:rsidRDefault="00995A5A" w14:paraId="2C2493A3" w14:textId="49678DDB">
            <w:pPr>
              <w:rPr>
                <w:rFonts w:ascii="Arial" w:hAnsi="Arial" w:cs="Arial"/>
                <w:b/>
                <w:bCs/>
              </w:rPr>
            </w:pPr>
            <w:r w:rsidRPr="009A7AD4">
              <w:rPr>
                <w:rFonts w:ascii="Arial" w:hAnsi="Arial" w:cs="Arial"/>
                <w:b/>
                <w:bCs/>
              </w:rPr>
              <w:t>Feb 2021</w:t>
            </w:r>
          </w:p>
        </w:tc>
        <w:tc>
          <w:tcPr>
            <w:tcW w:w="12137" w:type="dxa"/>
            <w:gridSpan w:val="11"/>
            <w:shd w:val="clear" w:color="auto" w:fill="D9D9D9" w:themeFill="background1" w:themeFillShade="D9"/>
          </w:tcPr>
          <w:p w:rsidRPr="009A7AD4" w:rsidR="00995A5A" w:rsidP="00995A5A" w:rsidRDefault="00995A5A" w14:paraId="4AD6F386" w14:textId="77777777">
            <w:pPr>
              <w:spacing w:line="240" w:lineRule="exact"/>
              <w:rPr>
                <w:rFonts w:ascii="Arial" w:hAnsi="Arial" w:cs="Arial"/>
                <w:b/>
                <w:bCs/>
              </w:rPr>
            </w:pPr>
            <w:r w:rsidRPr="009A7AD4">
              <w:rPr>
                <w:rFonts w:ascii="Arial" w:hAnsi="Arial" w:cs="Arial"/>
                <w:b/>
                <w:bCs/>
              </w:rPr>
              <w:t>Core Financial Systems Assurance Feb 2021</w:t>
            </w:r>
          </w:p>
          <w:p w:rsidRPr="009A7AD4" w:rsidR="00995A5A" w:rsidP="00995A5A" w:rsidRDefault="00995A5A" w14:paraId="63B1D370" w14:textId="77777777">
            <w:pPr>
              <w:jc w:val="center"/>
              <w:rPr>
                <w:rFonts w:ascii="Arial" w:hAnsi="Arial" w:cs="Arial"/>
                <w:b/>
                <w:bCs/>
              </w:rPr>
            </w:pPr>
          </w:p>
        </w:tc>
      </w:tr>
      <w:tr w:rsidRPr="007A5AF6" w:rsidR="00995A5A" w:rsidTr="002A2904" w14:paraId="26C4A00D" w14:textId="77777777">
        <w:tc>
          <w:tcPr>
            <w:tcW w:w="1892" w:type="dxa"/>
            <w:gridSpan w:val="2"/>
          </w:tcPr>
          <w:p w:rsidRPr="007E6885" w:rsidR="00995A5A" w:rsidP="00995A5A" w:rsidRDefault="00401DBF" w14:paraId="5E04119D" w14:textId="71891CE7">
            <w:pPr>
              <w:rPr>
                <w:rFonts w:ascii="Arial" w:hAnsi="Arial" w:cs="Arial"/>
              </w:rPr>
            </w:pPr>
            <w:r w:rsidRPr="007E6885">
              <w:rPr>
                <w:rFonts w:ascii="Arial" w:hAnsi="Arial" w:cs="Arial"/>
              </w:rPr>
              <w:t>CC/74a8/2322</w:t>
            </w:r>
          </w:p>
        </w:tc>
        <w:tc>
          <w:tcPr>
            <w:tcW w:w="2256" w:type="dxa"/>
            <w:gridSpan w:val="4"/>
          </w:tcPr>
          <w:p w:rsidRPr="007E6885" w:rsidR="00995A5A" w:rsidP="00995A5A" w:rsidRDefault="00995A5A" w14:paraId="5D248E2C" w14:textId="77777777">
            <w:pPr>
              <w:spacing w:line="240" w:lineRule="exact"/>
              <w:rPr>
                <w:rFonts w:ascii="Arial" w:hAnsi="Arial" w:cs="Arial"/>
              </w:rPr>
            </w:pPr>
          </w:p>
        </w:tc>
        <w:tc>
          <w:tcPr>
            <w:tcW w:w="6719" w:type="dxa"/>
            <w:gridSpan w:val="2"/>
          </w:tcPr>
          <w:p w:rsidRPr="007E6885" w:rsidR="00995A5A" w:rsidP="00995A5A" w:rsidRDefault="00995A5A" w14:paraId="4C8662C4" w14:textId="74ADEDCA">
            <w:pPr>
              <w:autoSpaceDE w:val="0"/>
              <w:autoSpaceDN w:val="0"/>
              <w:adjustRightInd w:val="0"/>
              <w:jc w:val="both"/>
              <w:rPr>
                <w:rFonts w:ascii="Arial" w:hAnsi="Arial" w:cs="Arial"/>
              </w:rPr>
            </w:pPr>
            <w:r w:rsidRPr="007E6885">
              <w:rPr>
                <w:rFonts w:ascii="Arial" w:hAnsi="Arial" w:cs="Arial"/>
              </w:rPr>
              <w:t xml:space="preserve">The Force should </w:t>
            </w:r>
            <w:r w:rsidR="007E6885">
              <w:rPr>
                <w:rFonts w:ascii="Arial" w:hAnsi="Arial" w:cs="Arial"/>
              </w:rPr>
              <w:t>review all aged debts prior to the handover of the debt management process from MFSS</w:t>
            </w:r>
            <w:r w:rsidRPr="007E6885">
              <w:rPr>
                <w:rFonts w:ascii="Arial" w:hAnsi="Arial" w:cs="Arial"/>
              </w:rPr>
              <w:t>.</w:t>
            </w:r>
          </w:p>
          <w:p w:rsidRPr="007E6885" w:rsidR="00995A5A" w:rsidP="00995A5A" w:rsidRDefault="00995A5A" w14:paraId="5E6F1B87" w14:textId="77777777">
            <w:pPr>
              <w:rPr>
                <w:rFonts w:ascii="Arial" w:hAnsi="Arial" w:cs="Arial"/>
                <w:b/>
              </w:rPr>
            </w:pPr>
          </w:p>
        </w:tc>
        <w:tc>
          <w:tcPr>
            <w:tcW w:w="1515" w:type="dxa"/>
            <w:gridSpan w:val="4"/>
          </w:tcPr>
          <w:p w:rsidRPr="007E6885" w:rsidR="00995A5A" w:rsidP="00995A5A" w:rsidRDefault="007E6885" w14:paraId="677FF94F" w14:textId="3300F18E">
            <w:pPr>
              <w:jc w:val="center"/>
              <w:rPr>
                <w:rFonts w:ascii="Arial" w:hAnsi="Arial" w:cs="Arial"/>
              </w:rPr>
            </w:pPr>
            <w:r>
              <w:rPr>
                <w:rFonts w:ascii="Arial" w:hAnsi="Arial" w:cs="Arial"/>
              </w:rPr>
              <w:t>2</w:t>
            </w:r>
          </w:p>
        </w:tc>
        <w:tc>
          <w:tcPr>
            <w:tcW w:w="1647" w:type="dxa"/>
          </w:tcPr>
          <w:p w:rsidRPr="007E6885" w:rsidR="00995A5A" w:rsidP="00995A5A" w:rsidRDefault="002A2904" w14:paraId="338C41CA" w14:textId="7DCFD128">
            <w:pPr>
              <w:jc w:val="center"/>
              <w:rPr>
                <w:rFonts w:ascii="Arial" w:hAnsi="Arial" w:cs="Arial"/>
              </w:rPr>
            </w:pPr>
            <w:r w:rsidRPr="007E6885">
              <w:rPr>
                <w:rFonts w:ascii="Arial" w:hAnsi="Arial" w:cs="Arial"/>
              </w:rPr>
              <w:t>1</w:t>
            </w:r>
          </w:p>
        </w:tc>
      </w:tr>
      <w:tr w:rsidRPr="007A5AF6" w:rsidR="00995A5A" w:rsidTr="004E6A53" w14:paraId="15335B55" w14:textId="77777777">
        <w:tc>
          <w:tcPr>
            <w:tcW w:w="1838" w:type="dxa"/>
            <w:shd w:val="clear" w:color="auto" w:fill="D9D9D9" w:themeFill="background1" w:themeFillShade="D9"/>
          </w:tcPr>
          <w:p w:rsidRPr="007A5AF6" w:rsidR="00995A5A" w:rsidP="00995A5A" w:rsidRDefault="00995A5A" w14:paraId="1B38F8B4" w14:textId="4F8864CE">
            <w:pPr>
              <w:rPr>
                <w:rFonts w:ascii="Arial" w:hAnsi="Arial" w:cs="Arial"/>
                <w:b/>
                <w:bCs/>
              </w:rPr>
            </w:pPr>
            <w:r w:rsidRPr="007A5AF6">
              <w:rPr>
                <w:rFonts w:ascii="Arial" w:hAnsi="Arial" w:cs="Arial"/>
                <w:b/>
                <w:bCs/>
              </w:rPr>
              <w:t>Feb 2021</w:t>
            </w:r>
          </w:p>
        </w:tc>
        <w:tc>
          <w:tcPr>
            <w:tcW w:w="12191" w:type="dxa"/>
            <w:gridSpan w:val="12"/>
            <w:shd w:val="clear" w:color="auto" w:fill="D9D9D9" w:themeFill="background1" w:themeFillShade="D9"/>
          </w:tcPr>
          <w:p w:rsidRPr="007A5AF6" w:rsidR="00995A5A" w:rsidP="00995A5A" w:rsidRDefault="00995A5A" w14:paraId="735C925D" w14:textId="629D0B1C">
            <w:pPr>
              <w:rPr>
                <w:rFonts w:ascii="Arial" w:hAnsi="Arial" w:cs="Arial"/>
                <w:b/>
                <w:bCs/>
              </w:rPr>
            </w:pPr>
            <w:r w:rsidRPr="007A5AF6">
              <w:rPr>
                <w:rFonts w:ascii="Arial" w:hAnsi="Arial" w:cs="Arial"/>
                <w:b/>
                <w:bCs/>
              </w:rPr>
              <w:t>Debt Management Feb 2021</w:t>
            </w:r>
            <w:r w:rsidR="00401DBF">
              <w:rPr>
                <w:rFonts w:ascii="Arial" w:hAnsi="Arial" w:cs="Arial"/>
                <w:b/>
                <w:bCs/>
              </w:rPr>
              <w:t xml:space="preserve"> - All Recommendations closed by Mazars</w:t>
            </w:r>
          </w:p>
          <w:p w:rsidRPr="007A5AF6" w:rsidR="00995A5A" w:rsidP="00995A5A" w:rsidRDefault="00995A5A" w14:paraId="6273F2B8" w14:textId="22A6C83D">
            <w:pPr>
              <w:rPr>
                <w:rFonts w:ascii="Arial" w:hAnsi="Arial" w:cs="Arial"/>
                <w:b/>
                <w:bCs/>
              </w:rPr>
            </w:pPr>
          </w:p>
        </w:tc>
      </w:tr>
      <w:tr w:rsidRPr="007A5AF6" w:rsidR="00995A5A" w:rsidTr="004E6A53" w14:paraId="016FA6C0" w14:textId="77777777">
        <w:tc>
          <w:tcPr>
            <w:tcW w:w="1838" w:type="dxa"/>
            <w:shd w:val="clear" w:color="auto" w:fill="D9D9D9" w:themeFill="background1" w:themeFillShade="D9"/>
          </w:tcPr>
          <w:p w:rsidRPr="00900CB1" w:rsidR="00995A5A" w:rsidP="00995A5A" w:rsidRDefault="00995A5A" w14:paraId="21B3FEF6" w14:textId="1084040D">
            <w:pPr>
              <w:rPr>
                <w:rFonts w:ascii="Arial" w:hAnsi="Arial" w:cs="Arial"/>
                <w:b/>
                <w:bCs/>
              </w:rPr>
            </w:pPr>
            <w:r w:rsidRPr="00900CB1">
              <w:rPr>
                <w:rFonts w:ascii="Arial" w:hAnsi="Arial" w:cs="Arial"/>
                <w:b/>
                <w:bCs/>
              </w:rPr>
              <w:t>Feb 2021</w:t>
            </w:r>
          </w:p>
        </w:tc>
        <w:tc>
          <w:tcPr>
            <w:tcW w:w="12191" w:type="dxa"/>
            <w:gridSpan w:val="12"/>
            <w:shd w:val="clear" w:color="auto" w:fill="D9D9D9" w:themeFill="background1" w:themeFillShade="D9"/>
          </w:tcPr>
          <w:p w:rsidRPr="00900CB1" w:rsidR="00995A5A" w:rsidP="00995A5A" w:rsidRDefault="00995A5A" w14:paraId="41DA66C2" w14:textId="39EF1A29">
            <w:pPr>
              <w:rPr>
                <w:rFonts w:ascii="Arial" w:hAnsi="Arial" w:cs="Arial"/>
                <w:b/>
                <w:bCs/>
              </w:rPr>
            </w:pPr>
            <w:r w:rsidRPr="00900CB1">
              <w:rPr>
                <w:rFonts w:ascii="Arial" w:hAnsi="Arial" w:cs="Arial"/>
                <w:b/>
                <w:bCs/>
              </w:rPr>
              <w:t>Seized Property February 2021</w:t>
            </w:r>
            <w:r w:rsidR="00C875F4">
              <w:rPr>
                <w:rFonts w:ascii="Arial" w:hAnsi="Arial" w:cs="Arial"/>
                <w:b/>
                <w:bCs/>
              </w:rPr>
              <w:t xml:space="preserve"> – All Recommendations closed by Mazars</w:t>
            </w:r>
          </w:p>
          <w:p w:rsidRPr="00900CB1" w:rsidR="00995A5A" w:rsidP="00995A5A" w:rsidRDefault="00995A5A" w14:paraId="799C6F88" w14:textId="77777777">
            <w:pPr>
              <w:jc w:val="center"/>
              <w:rPr>
                <w:rFonts w:ascii="Arial" w:hAnsi="Arial" w:cs="Arial"/>
                <w:b/>
                <w:bCs/>
              </w:rPr>
            </w:pPr>
          </w:p>
        </w:tc>
      </w:tr>
      <w:tr w:rsidRPr="007A5AF6" w:rsidR="000A098B" w:rsidTr="004E6A53" w14:paraId="6117ACE9" w14:textId="77777777">
        <w:tc>
          <w:tcPr>
            <w:tcW w:w="1838" w:type="dxa"/>
            <w:shd w:val="clear" w:color="auto" w:fill="D9D9D9" w:themeFill="background1" w:themeFillShade="D9"/>
          </w:tcPr>
          <w:p w:rsidRPr="007A5AF6" w:rsidR="000A098B" w:rsidP="000A098B" w:rsidRDefault="000A098B" w14:paraId="7D41B324" w14:textId="30B34314">
            <w:pPr>
              <w:rPr>
                <w:rFonts w:ascii="Arial" w:hAnsi="Arial" w:cs="Arial"/>
                <w:b/>
                <w:bCs/>
              </w:rPr>
            </w:pPr>
            <w:r w:rsidRPr="007A5AF6">
              <w:rPr>
                <w:rFonts w:ascii="Arial" w:hAnsi="Arial" w:cs="Arial"/>
                <w:b/>
                <w:bCs/>
              </w:rPr>
              <w:t>April 2021</w:t>
            </w:r>
          </w:p>
        </w:tc>
        <w:tc>
          <w:tcPr>
            <w:tcW w:w="12191" w:type="dxa"/>
            <w:gridSpan w:val="12"/>
            <w:shd w:val="clear" w:color="auto" w:fill="D9D9D9" w:themeFill="background1" w:themeFillShade="D9"/>
          </w:tcPr>
          <w:p w:rsidRPr="007A5AF6" w:rsidR="000A098B" w:rsidP="000A098B" w:rsidRDefault="000A098B" w14:paraId="5A1AD374" w14:textId="2D866F87">
            <w:pPr>
              <w:rPr>
                <w:rFonts w:ascii="Arial" w:hAnsi="Arial" w:cs="Arial"/>
                <w:b/>
                <w:bCs/>
              </w:rPr>
            </w:pPr>
            <w:r w:rsidRPr="007A5AF6">
              <w:rPr>
                <w:rFonts w:ascii="Arial" w:hAnsi="Arial" w:cs="Arial"/>
                <w:b/>
                <w:bCs/>
              </w:rPr>
              <w:t xml:space="preserve">Wellbeing April 2021 </w:t>
            </w:r>
            <w:r w:rsidR="00732DBD">
              <w:rPr>
                <w:rFonts w:ascii="Arial" w:hAnsi="Arial" w:cs="Arial"/>
                <w:b/>
                <w:bCs/>
              </w:rPr>
              <w:t>- All Recommendations closed by Mazars</w:t>
            </w:r>
          </w:p>
          <w:p w:rsidRPr="007A5AF6" w:rsidR="000A098B" w:rsidP="000A098B" w:rsidRDefault="000A098B" w14:paraId="3D181CDA" w14:textId="77777777">
            <w:pPr>
              <w:jc w:val="center"/>
              <w:rPr>
                <w:rFonts w:ascii="Arial" w:hAnsi="Arial" w:cs="Arial"/>
                <w:b/>
                <w:bCs/>
              </w:rPr>
            </w:pPr>
          </w:p>
        </w:tc>
      </w:tr>
      <w:tr w:rsidRPr="007A5AF6" w:rsidR="000A098B" w:rsidTr="004E6A53" w14:paraId="19608103" w14:textId="77777777">
        <w:tc>
          <w:tcPr>
            <w:tcW w:w="1838" w:type="dxa"/>
            <w:shd w:val="clear" w:color="auto" w:fill="D9D9D9" w:themeFill="background1" w:themeFillShade="D9"/>
          </w:tcPr>
          <w:p w:rsidRPr="00474657" w:rsidR="000A098B" w:rsidP="000A098B" w:rsidRDefault="00FD3080" w14:paraId="136B50A4" w14:textId="36DEBD41">
            <w:pPr>
              <w:rPr>
                <w:rFonts w:ascii="Arial" w:hAnsi="Arial" w:cs="Arial"/>
                <w:b/>
                <w:bCs/>
              </w:rPr>
            </w:pPr>
            <w:r>
              <w:br w:type="page"/>
            </w:r>
            <w:r w:rsidRPr="00474657" w:rsidR="000A098B">
              <w:rPr>
                <w:rFonts w:ascii="Arial" w:hAnsi="Arial" w:cs="Arial"/>
                <w:b/>
                <w:bCs/>
              </w:rPr>
              <w:t>April 2021</w:t>
            </w:r>
          </w:p>
        </w:tc>
        <w:tc>
          <w:tcPr>
            <w:tcW w:w="12191" w:type="dxa"/>
            <w:gridSpan w:val="12"/>
            <w:shd w:val="clear" w:color="auto" w:fill="D9D9D9" w:themeFill="background1" w:themeFillShade="D9"/>
          </w:tcPr>
          <w:p w:rsidRPr="00474657" w:rsidR="000A098B" w:rsidP="000A098B" w:rsidRDefault="000A098B" w14:paraId="74C7ED1C" w14:textId="59F82207">
            <w:pPr>
              <w:rPr>
                <w:rFonts w:ascii="Arial" w:hAnsi="Arial" w:cs="Arial"/>
                <w:b/>
                <w:bCs/>
              </w:rPr>
            </w:pPr>
            <w:r w:rsidRPr="00474657">
              <w:rPr>
                <w:rFonts w:ascii="Arial" w:hAnsi="Arial" w:cs="Arial"/>
                <w:b/>
                <w:bCs/>
              </w:rPr>
              <w:t>Complaints Management April 2021</w:t>
            </w:r>
            <w:r w:rsidR="00732DBD">
              <w:rPr>
                <w:rFonts w:ascii="Arial" w:hAnsi="Arial" w:cs="Arial"/>
                <w:b/>
                <w:bCs/>
              </w:rPr>
              <w:t xml:space="preserve"> - All Recommendations closed by Mazars</w:t>
            </w:r>
          </w:p>
          <w:p w:rsidRPr="00474657" w:rsidR="000A098B" w:rsidP="000A098B" w:rsidRDefault="000A098B" w14:paraId="7531FA69" w14:textId="38E2EDC2">
            <w:pPr>
              <w:rPr>
                <w:rFonts w:ascii="Arial" w:hAnsi="Arial" w:cs="Arial"/>
                <w:b/>
                <w:bCs/>
              </w:rPr>
            </w:pPr>
          </w:p>
        </w:tc>
      </w:tr>
      <w:tr w:rsidRPr="00474657" w:rsidR="00C7717E" w:rsidTr="004E6A53" w14:paraId="60E0FED3" w14:textId="77777777">
        <w:tc>
          <w:tcPr>
            <w:tcW w:w="1838" w:type="dxa"/>
            <w:shd w:val="clear" w:color="auto" w:fill="D9D9D9" w:themeFill="background1" w:themeFillShade="D9"/>
          </w:tcPr>
          <w:p w:rsidRPr="00474657" w:rsidR="00C7717E" w:rsidP="00CC17B8" w:rsidRDefault="00C7717E" w14:paraId="353A7864" w14:textId="0BECEEB0">
            <w:pPr>
              <w:rPr>
                <w:rFonts w:ascii="Arial" w:hAnsi="Arial" w:cs="Arial"/>
                <w:b/>
                <w:bCs/>
              </w:rPr>
            </w:pPr>
            <w:r>
              <w:rPr>
                <w:rFonts w:ascii="Arial" w:hAnsi="Arial" w:cs="Arial"/>
                <w:b/>
              </w:rPr>
              <w:br w:type="page"/>
            </w:r>
            <w:r w:rsidR="00AE2AE7">
              <w:rPr>
                <w:rFonts w:ascii="Arial" w:hAnsi="Arial" w:cs="Arial"/>
                <w:b/>
              </w:rPr>
              <w:t>S</w:t>
            </w:r>
            <w:r>
              <w:rPr>
                <w:rFonts w:ascii="Arial" w:hAnsi="Arial" w:cs="Arial"/>
                <w:b/>
                <w:bCs/>
              </w:rPr>
              <w:t>eptember</w:t>
            </w:r>
            <w:r w:rsidRPr="00474657">
              <w:rPr>
                <w:rFonts w:ascii="Arial" w:hAnsi="Arial" w:cs="Arial"/>
                <w:b/>
                <w:bCs/>
              </w:rPr>
              <w:t xml:space="preserve"> 2021</w:t>
            </w:r>
          </w:p>
        </w:tc>
        <w:tc>
          <w:tcPr>
            <w:tcW w:w="12191" w:type="dxa"/>
            <w:gridSpan w:val="12"/>
            <w:shd w:val="clear" w:color="auto" w:fill="D9D9D9" w:themeFill="background1" w:themeFillShade="D9"/>
          </w:tcPr>
          <w:p w:rsidRPr="00474657" w:rsidR="00C7717E" w:rsidP="00CC17B8" w:rsidRDefault="00C7717E" w14:paraId="1F297177" w14:textId="28D38637">
            <w:pPr>
              <w:rPr>
                <w:rFonts w:ascii="Arial" w:hAnsi="Arial" w:cs="Arial"/>
                <w:b/>
                <w:bCs/>
              </w:rPr>
            </w:pPr>
            <w:r>
              <w:rPr>
                <w:rFonts w:ascii="Arial" w:hAnsi="Arial" w:cs="Arial"/>
                <w:b/>
                <w:bCs/>
              </w:rPr>
              <w:t>Firearms Licensing September</w:t>
            </w:r>
            <w:r w:rsidRPr="00474657">
              <w:rPr>
                <w:rFonts w:ascii="Arial" w:hAnsi="Arial" w:cs="Arial"/>
                <w:b/>
                <w:bCs/>
              </w:rPr>
              <w:t xml:space="preserve"> 2021</w:t>
            </w:r>
            <w:r w:rsidR="00732DBD">
              <w:rPr>
                <w:rFonts w:ascii="Arial" w:hAnsi="Arial" w:cs="Arial"/>
                <w:b/>
                <w:bCs/>
              </w:rPr>
              <w:t xml:space="preserve"> - All Recommendations closed by Mazars</w:t>
            </w:r>
          </w:p>
          <w:p w:rsidRPr="00474657" w:rsidR="00C7717E" w:rsidP="00CC17B8" w:rsidRDefault="00C7717E" w14:paraId="13F2B39B" w14:textId="77777777">
            <w:pPr>
              <w:rPr>
                <w:rFonts w:ascii="Arial" w:hAnsi="Arial" w:cs="Arial"/>
                <w:b/>
                <w:bCs/>
              </w:rPr>
            </w:pPr>
          </w:p>
        </w:tc>
      </w:tr>
      <w:tr w:rsidRPr="00474657" w:rsidR="002A2904" w:rsidTr="004E6A53" w14:paraId="2D3EFE71" w14:textId="77777777">
        <w:tc>
          <w:tcPr>
            <w:tcW w:w="1838" w:type="dxa"/>
            <w:shd w:val="clear" w:color="auto" w:fill="D9D9D9" w:themeFill="background1" w:themeFillShade="D9"/>
          </w:tcPr>
          <w:p w:rsidR="002A2904" w:rsidP="00A72FAF" w:rsidRDefault="002A2904" w14:paraId="50ACF3C9" w14:textId="31330173">
            <w:pPr>
              <w:rPr>
                <w:rFonts w:ascii="Arial" w:hAnsi="Arial" w:cs="Arial"/>
                <w:b/>
              </w:rPr>
            </w:pPr>
            <w:r>
              <w:rPr>
                <w:rFonts w:ascii="Arial" w:hAnsi="Arial" w:cs="Arial"/>
                <w:b/>
              </w:rPr>
              <w:lastRenderedPageBreak/>
              <w:t>February 2022</w:t>
            </w:r>
          </w:p>
        </w:tc>
        <w:tc>
          <w:tcPr>
            <w:tcW w:w="12191" w:type="dxa"/>
            <w:gridSpan w:val="12"/>
            <w:shd w:val="clear" w:color="auto" w:fill="D9D9D9" w:themeFill="background1" w:themeFillShade="D9"/>
          </w:tcPr>
          <w:p w:rsidR="002A2904" w:rsidP="00A72FAF" w:rsidRDefault="002A2904" w14:paraId="0883AB96" w14:textId="77777777">
            <w:pPr>
              <w:rPr>
                <w:rFonts w:ascii="Arial" w:hAnsi="Arial" w:cs="Arial"/>
                <w:b/>
                <w:bCs/>
              </w:rPr>
            </w:pPr>
            <w:r>
              <w:rPr>
                <w:rFonts w:ascii="Arial" w:hAnsi="Arial" w:cs="Arial"/>
                <w:b/>
                <w:bCs/>
              </w:rPr>
              <w:t>Core Financials</w:t>
            </w:r>
          </w:p>
          <w:p w:rsidR="00C875F4" w:rsidP="00A72FAF" w:rsidRDefault="00C875F4" w14:paraId="16113585" w14:textId="2D03DEB6">
            <w:pPr>
              <w:rPr>
                <w:rFonts w:ascii="Arial" w:hAnsi="Arial" w:cs="Arial"/>
                <w:b/>
                <w:bCs/>
              </w:rPr>
            </w:pPr>
          </w:p>
        </w:tc>
      </w:tr>
      <w:tr w:rsidRPr="00474657" w:rsidR="00C875F4" w:rsidTr="004E6A53" w14:paraId="2F9C1711" w14:textId="77777777">
        <w:tc>
          <w:tcPr>
            <w:tcW w:w="1838" w:type="dxa"/>
            <w:shd w:val="clear" w:color="auto" w:fill="auto"/>
          </w:tcPr>
          <w:p w:rsidR="00C875F4" w:rsidP="00C875F4" w:rsidRDefault="00C875F4" w14:paraId="64B407B2" w14:textId="66DF614B">
            <w:pPr>
              <w:rPr>
                <w:rFonts w:ascii="Arial" w:hAnsi="Arial" w:cs="Arial"/>
                <w:b/>
              </w:rPr>
            </w:pPr>
            <w:r w:rsidRPr="007E6885">
              <w:rPr>
                <w:rFonts w:ascii="Arial" w:hAnsi="Arial" w:cs="Arial"/>
              </w:rPr>
              <w:t>CC/74a8/2322</w:t>
            </w:r>
          </w:p>
        </w:tc>
        <w:tc>
          <w:tcPr>
            <w:tcW w:w="1985" w:type="dxa"/>
            <w:gridSpan w:val="2"/>
            <w:shd w:val="clear" w:color="auto" w:fill="auto"/>
          </w:tcPr>
          <w:p w:rsidRPr="00732DBD" w:rsidR="00C875F4" w:rsidP="00C875F4" w:rsidRDefault="00C875F4" w14:paraId="69981EEA" w14:textId="77777777">
            <w:pPr>
              <w:rPr>
                <w:rFonts w:ascii="Arial" w:hAnsi="Arial" w:cs="Arial"/>
                <w:b/>
                <w:bCs/>
              </w:rPr>
            </w:pPr>
          </w:p>
        </w:tc>
        <w:tc>
          <w:tcPr>
            <w:tcW w:w="7087" w:type="dxa"/>
            <w:gridSpan w:val="6"/>
            <w:shd w:val="clear" w:color="auto" w:fill="auto"/>
          </w:tcPr>
          <w:p w:rsidRPr="007E6885" w:rsidR="00C875F4" w:rsidP="00C875F4" w:rsidRDefault="00C875F4" w14:paraId="17CA042E" w14:textId="77777777">
            <w:pPr>
              <w:autoSpaceDE w:val="0"/>
              <w:autoSpaceDN w:val="0"/>
              <w:adjustRightInd w:val="0"/>
              <w:jc w:val="both"/>
              <w:rPr>
                <w:rFonts w:ascii="Arial" w:hAnsi="Arial" w:cs="Arial"/>
              </w:rPr>
            </w:pPr>
            <w:r w:rsidRPr="007E6885">
              <w:rPr>
                <w:rFonts w:ascii="Arial" w:hAnsi="Arial" w:cs="Arial"/>
              </w:rPr>
              <w:t xml:space="preserve">The Force should </w:t>
            </w:r>
            <w:r>
              <w:rPr>
                <w:rFonts w:ascii="Arial" w:hAnsi="Arial" w:cs="Arial"/>
              </w:rPr>
              <w:t>review all aged debts prior to the handover of the debt management process from MFSS</w:t>
            </w:r>
            <w:r w:rsidRPr="007E6885">
              <w:rPr>
                <w:rFonts w:ascii="Arial" w:hAnsi="Arial" w:cs="Arial"/>
              </w:rPr>
              <w:t>.</w:t>
            </w:r>
          </w:p>
          <w:p w:rsidRPr="00732DBD" w:rsidR="00C875F4" w:rsidP="00C875F4" w:rsidRDefault="00C875F4" w14:paraId="0BE6DC64" w14:textId="22A4652C">
            <w:pPr>
              <w:rPr>
                <w:rFonts w:ascii="Arial" w:hAnsi="Arial" w:cs="Arial"/>
                <w:b/>
                <w:bCs/>
              </w:rPr>
            </w:pPr>
          </w:p>
        </w:tc>
        <w:tc>
          <w:tcPr>
            <w:tcW w:w="1419" w:type="dxa"/>
            <w:shd w:val="clear" w:color="auto" w:fill="auto"/>
          </w:tcPr>
          <w:p w:rsidRPr="00530043" w:rsidR="00C875F4" w:rsidP="00C875F4" w:rsidRDefault="00C875F4" w14:paraId="32A19297" w14:textId="55458C0A">
            <w:pPr>
              <w:jc w:val="center"/>
              <w:rPr>
                <w:rFonts w:ascii="Arial" w:hAnsi="Arial" w:cs="Arial"/>
                <w:bCs/>
              </w:rPr>
            </w:pPr>
            <w:r>
              <w:rPr>
                <w:rFonts w:ascii="Arial" w:hAnsi="Arial" w:cs="Arial"/>
                <w:bCs/>
              </w:rPr>
              <w:t>1</w:t>
            </w:r>
          </w:p>
        </w:tc>
        <w:tc>
          <w:tcPr>
            <w:tcW w:w="1700" w:type="dxa"/>
            <w:gridSpan w:val="3"/>
            <w:shd w:val="clear" w:color="auto" w:fill="auto"/>
          </w:tcPr>
          <w:p w:rsidRPr="00530043" w:rsidR="00C875F4" w:rsidP="00C875F4" w:rsidRDefault="00C875F4" w14:paraId="7B816F69" w14:textId="5253DFAD">
            <w:pPr>
              <w:jc w:val="center"/>
              <w:rPr>
                <w:rFonts w:ascii="Arial" w:hAnsi="Arial" w:cs="Arial"/>
                <w:bCs/>
              </w:rPr>
            </w:pPr>
            <w:r>
              <w:rPr>
                <w:rFonts w:ascii="Arial" w:hAnsi="Arial" w:cs="Arial"/>
                <w:bCs/>
              </w:rPr>
              <w:t>0</w:t>
            </w:r>
          </w:p>
        </w:tc>
      </w:tr>
      <w:tr w:rsidRPr="00474657" w:rsidR="00C875F4" w:rsidTr="004E6A53" w14:paraId="369E4B02" w14:textId="77777777">
        <w:tc>
          <w:tcPr>
            <w:tcW w:w="1838" w:type="dxa"/>
            <w:shd w:val="clear" w:color="auto" w:fill="D9D9D9" w:themeFill="background1" w:themeFillShade="D9"/>
          </w:tcPr>
          <w:p w:rsidR="00C875F4" w:rsidP="00C875F4" w:rsidRDefault="00C875F4" w14:paraId="03087490" w14:textId="24CB7994">
            <w:pPr>
              <w:rPr>
                <w:rFonts w:ascii="Arial" w:hAnsi="Arial" w:cs="Arial"/>
                <w:b/>
              </w:rPr>
            </w:pPr>
            <w:r>
              <w:br w:type="page"/>
            </w:r>
            <w:r>
              <w:rPr>
                <w:rFonts w:ascii="Arial" w:hAnsi="Arial" w:cs="Arial"/>
                <w:b/>
              </w:rPr>
              <w:t>March 2022</w:t>
            </w:r>
          </w:p>
        </w:tc>
        <w:tc>
          <w:tcPr>
            <w:tcW w:w="12191" w:type="dxa"/>
            <w:gridSpan w:val="12"/>
            <w:shd w:val="clear" w:color="auto" w:fill="D9D9D9" w:themeFill="background1" w:themeFillShade="D9"/>
          </w:tcPr>
          <w:p w:rsidR="00C875F4" w:rsidP="00C875F4" w:rsidRDefault="00C875F4" w14:paraId="2D7C8FD0" w14:textId="77777777">
            <w:pPr>
              <w:rPr>
                <w:rFonts w:ascii="Arial" w:hAnsi="Arial" w:cs="Arial"/>
                <w:b/>
                <w:bCs/>
              </w:rPr>
            </w:pPr>
            <w:r>
              <w:rPr>
                <w:rFonts w:ascii="Arial" w:hAnsi="Arial" w:cs="Arial"/>
                <w:b/>
                <w:bCs/>
              </w:rPr>
              <w:t xml:space="preserve">Business Change </w:t>
            </w:r>
          </w:p>
          <w:p w:rsidR="00C875F4" w:rsidP="00C875F4" w:rsidRDefault="00C875F4" w14:paraId="766C5FA6" w14:textId="76B8E02A">
            <w:pPr>
              <w:rPr>
                <w:rFonts w:ascii="Arial" w:hAnsi="Arial" w:cs="Arial"/>
                <w:b/>
                <w:bCs/>
              </w:rPr>
            </w:pPr>
          </w:p>
        </w:tc>
      </w:tr>
      <w:tr w:rsidRPr="00474657" w:rsidR="00C875F4" w:rsidTr="004E6A53" w14:paraId="7E915E51" w14:textId="77777777">
        <w:tc>
          <w:tcPr>
            <w:tcW w:w="1838" w:type="dxa"/>
            <w:shd w:val="clear" w:color="auto" w:fill="auto"/>
          </w:tcPr>
          <w:p w:rsidRPr="00C875F4" w:rsidR="00C875F4" w:rsidP="00C875F4" w:rsidRDefault="00C875F4" w14:paraId="3B214E14" w14:textId="3368ECB4">
            <w:pPr>
              <w:rPr>
                <w:rFonts w:ascii="Arial" w:hAnsi="Arial" w:cs="Arial"/>
                <w:bCs/>
              </w:rPr>
            </w:pPr>
            <w:r w:rsidRPr="00C875F4">
              <w:rPr>
                <w:rFonts w:ascii="Arial" w:hAnsi="Arial" w:cs="Arial"/>
                <w:bCs/>
              </w:rPr>
              <w:t>CC/b483/2322</w:t>
            </w:r>
          </w:p>
        </w:tc>
        <w:tc>
          <w:tcPr>
            <w:tcW w:w="1985" w:type="dxa"/>
            <w:gridSpan w:val="2"/>
            <w:shd w:val="clear" w:color="auto" w:fill="auto"/>
          </w:tcPr>
          <w:p w:rsidRPr="00732DBD" w:rsidR="00C875F4" w:rsidP="00C875F4" w:rsidRDefault="00C875F4" w14:paraId="31356B7E" w14:textId="058D2529">
            <w:pPr>
              <w:rPr>
                <w:rFonts w:ascii="Arial" w:hAnsi="Arial" w:cs="Arial"/>
                <w:b/>
                <w:bCs/>
              </w:rPr>
            </w:pPr>
          </w:p>
        </w:tc>
        <w:tc>
          <w:tcPr>
            <w:tcW w:w="7087" w:type="dxa"/>
            <w:gridSpan w:val="6"/>
            <w:shd w:val="clear" w:color="auto" w:fill="auto"/>
          </w:tcPr>
          <w:p w:rsidR="00C875F4" w:rsidP="00C875F4" w:rsidRDefault="00C875F4" w14:paraId="4960BFFC" w14:textId="77777777">
            <w:pPr>
              <w:rPr>
                <w:rFonts w:ascii="Arial" w:hAnsi="Arial" w:cs="Arial"/>
              </w:rPr>
            </w:pPr>
            <w:r w:rsidRPr="00732DBD">
              <w:rPr>
                <w:rFonts w:ascii="Arial" w:hAnsi="Arial" w:cs="Arial"/>
              </w:rPr>
              <w:t>The Force to ensure that activity requests and/or business cases include records of stakeholder engagement, including detail as per the business case template, to evidence that this has been carried out.</w:t>
            </w:r>
          </w:p>
          <w:p w:rsidRPr="00732DBD" w:rsidR="00C875F4" w:rsidP="00C875F4" w:rsidRDefault="00C875F4" w14:paraId="69698B7A" w14:textId="72B5F40E">
            <w:pPr>
              <w:rPr>
                <w:rFonts w:ascii="Arial" w:hAnsi="Arial" w:cs="Arial"/>
                <w:b/>
                <w:bCs/>
              </w:rPr>
            </w:pPr>
          </w:p>
        </w:tc>
        <w:tc>
          <w:tcPr>
            <w:tcW w:w="1419" w:type="dxa"/>
            <w:shd w:val="clear" w:color="auto" w:fill="auto"/>
          </w:tcPr>
          <w:p w:rsidRPr="00530043" w:rsidR="00C875F4" w:rsidP="00C875F4" w:rsidRDefault="00C875F4" w14:paraId="1118A4D6" w14:textId="59197A66">
            <w:pPr>
              <w:jc w:val="center"/>
              <w:rPr>
                <w:rFonts w:ascii="Arial" w:hAnsi="Arial" w:cs="Arial"/>
                <w:bCs/>
              </w:rPr>
            </w:pPr>
            <w:r w:rsidRPr="00530043">
              <w:rPr>
                <w:rFonts w:ascii="Arial" w:hAnsi="Arial" w:cs="Arial"/>
                <w:bCs/>
              </w:rPr>
              <w:t>3</w:t>
            </w:r>
          </w:p>
        </w:tc>
        <w:tc>
          <w:tcPr>
            <w:tcW w:w="1700" w:type="dxa"/>
            <w:gridSpan w:val="3"/>
            <w:shd w:val="clear" w:color="auto" w:fill="auto"/>
          </w:tcPr>
          <w:p w:rsidRPr="00530043" w:rsidR="00C875F4" w:rsidP="00C875F4" w:rsidRDefault="00C875F4" w14:paraId="07BD2717" w14:textId="4FEC57F7">
            <w:pPr>
              <w:jc w:val="center"/>
              <w:rPr>
                <w:rFonts w:ascii="Arial" w:hAnsi="Arial" w:cs="Arial"/>
                <w:bCs/>
              </w:rPr>
            </w:pPr>
            <w:r>
              <w:rPr>
                <w:rFonts w:ascii="Arial" w:hAnsi="Arial" w:cs="Arial"/>
                <w:bCs/>
              </w:rPr>
              <w:t>0</w:t>
            </w:r>
          </w:p>
        </w:tc>
      </w:tr>
      <w:tr w:rsidRPr="00474657" w:rsidR="00C875F4" w:rsidTr="004E6A53" w14:paraId="25A55DA3" w14:textId="77777777">
        <w:tc>
          <w:tcPr>
            <w:tcW w:w="1838" w:type="dxa"/>
            <w:shd w:val="clear" w:color="auto" w:fill="auto"/>
          </w:tcPr>
          <w:p w:rsidRPr="00C875F4" w:rsidR="00C875F4" w:rsidP="00C875F4" w:rsidRDefault="00C875F4" w14:paraId="391F5CFC" w14:textId="27E7AF59">
            <w:pPr>
              <w:rPr>
                <w:rFonts w:ascii="Arial" w:hAnsi="Arial" w:cs="Arial"/>
                <w:bCs/>
              </w:rPr>
            </w:pPr>
            <w:r w:rsidRPr="00C875F4">
              <w:rPr>
                <w:rFonts w:ascii="Arial" w:hAnsi="Arial" w:cs="Arial"/>
                <w:bCs/>
              </w:rPr>
              <w:t>CC/e481/2322</w:t>
            </w:r>
          </w:p>
        </w:tc>
        <w:tc>
          <w:tcPr>
            <w:tcW w:w="1985" w:type="dxa"/>
            <w:gridSpan w:val="2"/>
            <w:shd w:val="clear" w:color="auto" w:fill="auto"/>
          </w:tcPr>
          <w:p w:rsidR="00C875F4" w:rsidP="00C875F4" w:rsidRDefault="00C875F4" w14:paraId="09827461" w14:textId="77777777">
            <w:pPr>
              <w:rPr>
                <w:rFonts w:ascii="Arial" w:hAnsi="Arial" w:cs="Arial"/>
                <w:b/>
                <w:bCs/>
              </w:rPr>
            </w:pPr>
          </w:p>
        </w:tc>
        <w:tc>
          <w:tcPr>
            <w:tcW w:w="7087" w:type="dxa"/>
            <w:gridSpan w:val="6"/>
            <w:shd w:val="clear" w:color="auto" w:fill="auto"/>
          </w:tcPr>
          <w:p w:rsidR="00C875F4" w:rsidP="00C875F4" w:rsidRDefault="00C875F4" w14:paraId="7E71E6F3" w14:textId="77777777">
            <w:pPr>
              <w:rPr>
                <w:rFonts w:ascii="Arial" w:hAnsi="Arial" w:cs="Arial"/>
                <w:szCs w:val="20"/>
              </w:rPr>
            </w:pPr>
            <w:r w:rsidRPr="00732DBD">
              <w:rPr>
                <w:rFonts w:ascii="Arial" w:hAnsi="Arial" w:cs="Arial"/>
                <w:szCs w:val="20"/>
              </w:rPr>
              <w:t>The Force should introduce a Quality Assurance check to be carried out by the Business Change Team over project documentation, not limited to activity requests, business cases and benefits realisation plans</w:t>
            </w:r>
          </w:p>
          <w:p w:rsidRPr="00732DBD" w:rsidR="00C875F4" w:rsidP="00C875F4" w:rsidRDefault="00C875F4" w14:paraId="6CB76236" w14:textId="27B5A46E">
            <w:pPr>
              <w:rPr>
                <w:rFonts w:ascii="Arial" w:hAnsi="Arial" w:cs="Arial"/>
                <w:b/>
                <w:bCs/>
              </w:rPr>
            </w:pPr>
          </w:p>
        </w:tc>
        <w:tc>
          <w:tcPr>
            <w:tcW w:w="1419" w:type="dxa"/>
            <w:shd w:val="clear" w:color="auto" w:fill="auto"/>
          </w:tcPr>
          <w:p w:rsidR="00C875F4" w:rsidP="00C875F4" w:rsidRDefault="00C875F4" w14:paraId="523F9B91" w14:textId="77777777">
            <w:pPr>
              <w:rPr>
                <w:rFonts w:ascii="Arial" w:hAnsi="Arial" w:cs="Arial"/>
                <w:b/>
                <w:bCs/>
              </w:rPr>
            </w:pPr>
          </w:p>
        </w:tc>
        <w:tc>
          <w:tcPr>
            <w:tcW w:w="1700" w:type="dxa"/>
            <w:gridSpan w:val="3"/>
            <w:shd w:val="clear" w:color="auto" w:fill="auto"/>
          </w:tcPr>
          <w:p w:rsidR="00C875F4" w:rsidP="00C875F4" w:rsidRDefault="00C875F4" w14:paraId="033F1215" w14:textId="6C2CB0AB">
            <w:pPr>
              <w:rPr>
                <w:rFonts w:ascii="Arial" w:hAnsi="Arial" w:cs="Arial"/>
                <w:b/>
                <w:bCs/>
              </w:rPr>
            </w:pPr>
          </w:p>
        </w:tc>
      </w:tr>
      <w:tr w:rsidRPr="00474657" w:rsidR="00C875F4" w:rsidTr="004E6A53" w14:paraId="2A221B25" w14:textId="77777777">
        <w:tc>
          <w:tcPr>
            <w:tcW w:w="1838" w:type="dxa"/>
            <w:shd w:val="clear" w:color="auto" w:fill="auto"/>
          </w:tcPr>
          <w:p w:rsidRPr="00C875F4" w:rsidR="00C875F4" w:rsidP="00C875F4" w:rsidRDefault="00C875F4" w14:paraId="760C7306" w14:textId="45491E53">
            <w:pPr>
              <w:rPr>
                <w:rFonts w:ascii="Arial" w:hAnsi="Arial" w:cs="Arial"/>
                <w:bCs/>
              </w:rPr>
            </w:pPr>
            <w:r w:rsidRPr="00C875F4">
              <w:rPr>
                <w:rFonts w:ascii="Arial" w:hAnsi="Arial" w:cs="Arial"/>
                <w:bCs/>
              </w:rPr>
              <w:t>CC/848e/2322</w:t>
            </w:r>
          </w:p>
        </w:tc>
        <w:tc>
          <w:tcPr>
            <w:tcW w:w="1985" w:type="dxa"/>
            <w:gridSpan w:val="2"/>
            <w:shd w:val="clear" w:color="auto" w:fill="auto"/>
          </w:tcPr>
          <w:p w:rsidR="00C875F4" w:rsidP="00C875F4" w:rsidRDefault="00C875F4" w14:paraId="5A1F9667" w14:textId="77777777">
            <w:pPr>
              <w:rPr>
                <w:rFonts w:ascii="Arial" w:hAnsi="Arial" w:cs="Arial"/>
                <w:b/>
                <w:bCs/>
              </w:rPr>
            </w:pPr>
          </w:p>
        </w:tc>
        <w:tc>
          <w:tcPr>
            <w:tcW w:w="7087" w:type="dxa"/>
            <w:gridSpan w:val="6"/>
            <w:shd w:val="clear" w:color="auto" w:fill="auto"/>
          </w:tcPr>
          <w:p w:rsidR="00C875F4" w:rsidP="00C875F4" w:rsidRDefault="00C875F4" w14:paraId="18C70FCB" w14:textId="77777777">
            <w:pPr>
              <w:rPr>
                <w:rFonts w:ascii="Arial" w:hAnsi="Arial" w:cs="Arial"/>
              </w:rPr>
            </w:pPr>
            <w:r w:rsidRPr="00732DBD">
              <w:rPr>
                <w:rFonts w:ascii="Arial" w:hAnsi="Arial" w:cs="Arial"/>
              </w:rPr>
              <w:t xml:space="preserve">The Force should ensure that Benefits Realisation Plans are in place for Business Change projects, in line with implemented policies and guidance. </w:t>
            </w:r>
            <w:r w:rsidRPr="00732DBD">
              <w:rPr>
                <w:rFonts w:ascii="Arial" w:hAnsi="Arial" w:cs="Arial"/>
              </w:rPr>
              <w:br/>
              <w:t>The Force should ensure that benefits monitoring is carried out for projects through communication with project leads and encouraged use of the Benefits Realisation Plans.</w:t>
            </w:r>
          </w:p>
          <w:p w:rsidRPr="00732DBD" w:rsidR="00C875F4" w:rsidP="00C875F4" w:rsidRDefault="00C875F4" w14:paraId="08D9C084" w14:textId="2106B128">
            <w:pPr>
              <w:rPr>
                <w:rFonts w:ascii="Arial" w:hAnsi="Arial" w:cs="Arial"/>
                <w:b/>
                <w:bCs/>
              </w:rPr>
            </w:pPr>
          </w:p>
        </w:tc>
        <w:tc>
          <w:tcPr>
            <w:tcW w:w="1419" w:type="dxa"/>
            <w:shd w:val="clear" w:color="auto" w:fill="auto"/>
          </w:tcPr>
          <w:p w:rsidR="00C875F4" w:rsidP="00C875F4" w:rsidRDefault="00C875F4" w14:paraId="24BB4C4A" w14:textId="77777777">
            <w:pPr>
              <w:rPr>
                <w:rFonts w:ascii="Arial" w:hAnsi="Arial" w:cs="Arial"/>
                <w:b/>
                <w:bCs/>
              </w:rPr>
            </w:pPr>
          </w:p>
        </w:tc>
        <w:tc>
          <w:tcPr>
            <w:tcW w:w="1700" w:type="dxa"/>
            <w:gridSpan w:val="3"/>
            <w:shd w:val="clear" w:color="auto" w:fill="auto"/>
          </w:tcPr>
          <w:p w:rsidR="00C875F4" w:rsidP="00C875F4" w:rsidRDefault="00C875F4" w14:paraId="56A59A6D" w14:textId="1063A78D">
            <w:pPr>
              <w:rPr>
                <w:rFonts w:ascii="Arial" w:hAnsi="Arial" w:cs="Arial"/>
                <w:b/>
                <w:bCs/>
              </w:rPr>
            </w:pPr>
          </w:p>
        </w:tc>
      </w:tr>
      <w:tr w:rsidRPr="007A5AF6" w:rsidR="00C875F4" w:rsidTr="00A72FAF" w14:paraId="1544A0B8" w14:textId="77777777">
        <w:tc>
          <w:tcPr>
            <w:tcW w:w="1838" w:type="dxa"/>
            <w:shd w:val="clear" w:color="auto" w:fill="D9D9D9" w:themeFill="background1" w:themeFillShade="D9"/>
          </w:tcPr>
          <w:p w:rsidRPr="007A5AF6" w:rsidR="00C875F4" w:rsidP="00C875F4" w:rsidRDefault="00C875F4" w14:paraId="6938D3ED" w14:textId="1EA5EF6A">
            <w:pPr>
              <w:rPr>
                <w:rFonts w:ascii="Arial" w:hAnsi="Arial" w:cs="Arial"/>
                <w:b/>
                <w:bCs/>
              </w:rPr>
            </w:pPr>
            <w:r>
              <w:rPr>
                <w:rFonts w:ascii="Arial" w:hAnsi="Arial" w:cs="Arial"/>
                <w:b/>
                <w:bCs/>
              </w:rPr>
              <w:t>March</w:t>
            </w:r>
            <w:r w:rsidRPr="007A5AF6">
              <w:rPr>
                <w:rFonts w:ascii="Arial" w:hAnsi="Arial" w:cs="Arial"/>
                <w:b/>
                <w:bCs/>
              </w:rPr>
              <w:t xml:space="preserve"> 202</w:t>
            </w:r>
            <w:r>
              <w:rPr>
                <w:rFonts w:ascii="Arial" w:hAnsi="Arial" w:cs="Arial"/>
                <w:b/>
                <w:bCs/>
              </w:rPr>
              <w:t>2</w:t>
            </w:r>
          </w:p>
        </w:tc>
        <w:tc>
          <w:tcPr>
            <w:tcW w:w="12191" w:type="dxa"/>
            <w:gridSpan w:val="12"/>
            <w:shd w:val="clear" w:color="auto" w:fill="D9D9D9" w:themeFill="background1" w:themeFillShade="D9"/>
          </w:tcPr>
          <w:p w:rsidRPr="007A5AF6" w:rsidR="00C875F4" w:rsidP="00C875F4" w:rsidRDefault="00C875F4" w14:paraId="44271F63" w14:textId="77777777">
            <w:pPr>
              <w:spacing w:line="240" w:lineRule="exact"/>
              <w:rPr>
                <w:rFonts w:ascii="Arial" w:hAnsi="Arial" w:cs="Arial"/>
                <w:b/>
                <w:bCs/>
              </w:rPr>
            </w:pPr>
            <w:r w:rsidRPr="007A5AF6">
              <w:rPr>
                <w:rFonts w:ascii="Arial" w:hAnsi="Arial" w:cs="Arial"/>
                <w:b/>
                <w:bCs/>
              </w:rPr>
              <w:t xml:space="preserve">GDPR Follow Up </w:t>
            </w:r>
            <w:r>
              <w:rPr>
                <w:rFonts w:ascii="Arial" w:hAnsi="Arial" w:cs="Arial"/>
                <w:b/>
                <w:bCs/>
              </w:rPr>
              <w:t>21-22</w:t>
            </w:r>
          </w:p>
          <w:p w:rsidRPr="007A5AF6" w:rsidR="00C875F4" w:rsidP="00C875F4" w:rsidRDefault="00C875F4" w14:paraId="2BEBEF35" w14:textId="77777777">
            <w:pPr>
              <w:jc w:val="center"/>
              <w:rPr>
                <w:rFonts w:ascii="Arial" w:hAnsi="Arial" w:cs="Arial"/>
                <w:b/>
                <w:bCs/>
              </w:rPr>
            </w:pPr>
          </w:p>
        </w:tc>
      </w:tr>
      <w:tr w:rsidRPr="002A2904" w:rsidR="00C875F4" w:rsidTr="00A72FAF" w14:paraId="6C7F31AE" w14:textId="77777777">
        <w:tc>
          <w:tcPr>
            <w:tcW w:w="1838" w:type="dxa"/>
          </w:tcPr>
          <w:p w:rsidRPr="002A2904" w:rsidR="00C875F4" w:rsidP="00C875F4" w:rsidRDefault="00C875F4" w14:paraId="04D66BDE" w14:textId="77777777">
            <w:pPr>
              <w:rPr>
                <w:rFonts w:ascii="Arial" w:hAnsi="Arial" w:cs="Arial"/>
              </w:rPr>
            </w:pPr>
            <w:r w:rsidRPr="002A2904">
              <w:rPr>
                <w:rFonts w:ascii="Arial" w:hAnsi="Arial" w:cs="Arial"/>
              </w:rPr>
              <w:t>MS/b4aa/10322</w:t>
            </w:r>
          </w:p>
        </w:tc>
        <w:tc>
          <w:tcPr>
            <w:tcW w:w="2126" w:type="dxa"/>
            <w:gridSpan w:val="3"/>
          </w:tcPr>
          <w:p w:rsidRPr="002A2904" w:rsidR="00C875F4" w:rsidP="00C875F4" w:rsidRDefault="00C875F4" w14:paraId="30F4DFE4" w14:textId="77777777">
            <w:pPr>
              <w:spacing w:line="240" w:lineRule="exact"/>
              <w:rPr>
                <w:rFonts w:ascii="Arial" w:hAnsi="Arial" w:cs="Arial"/>
              </w:rPr>
            </w:pPr>
          </w:p>
        </w:tc>
        <w:tc>
          <w:tcPr>
            <w:tcW w:w="6946" w:type="dxa"/>
            <w:gridSpan w:val="5"/>
          </w:tcPr>
          <w:p w:rsidRPr="002A2904" w:rsidR="00C875F4" w:rsidP="00C875F4" w:rsidRDefault="00C875F4" w14:paraId="3D3E092B" w14:textId="77777777">
            <w:pPr>
              <w:rPr>
                <w:rFonts w:ascii="Arial" w:hAnsi="Arial" w:cs="Arial"/>
              </w:rPr>
            </w:pPr>
            <w:r w:rsidRPr="002A2904">
              <w:rPr>
                <w:rFonts w:ascii="Arial" w:hAnsi="Arial" w:cs="Arial"/>
              </w:rPr>
              <w:t>The Force should continue to address the issues identified in the ICO Controllers Checklist, all of which are currently in some level of implementation.</w:t>
            </w:r>
          </w:p>
          <w:p w:rsidRPr="002A2904" w:rsidR="00C875F4" w:rsidP="00C875F4" w:rsidRDefault="00C875F4" w14:paraId="0FF27A36" w14:textId="77777777">
            <w:pPr>
              <w:rPr>
                <w:rFonts w:ascii="Arial" w:hAnsi="Arial" w:cs="Arial"/>
                <w:b/>
              </w:rPr>
            </w:pPr>
          </w:p>
        </w:tc>
        <w:tc>
          <w:tcPr>
            <w:tcW w:w="1419" w:type="dxa"/>
          </w:tcPr>
          <w:p w:rsidRPr="002A2904" w:rsidR="00C875F4" w:rsidP="00C875F4" w:rsidRDefault="00C05953" w14:paraId="644716F2" w14:textId="6B9786E2">
            <w:pPr>
              <w:jc w:val="center"/>
              <w:rPr>
                <w:rFonts w:ascii="Arial" w:hAnsi="Arial" w:cs="Arial"/>
              </w:rPr>
            </w:pPr>
            <w:r>
              <w:rPr>
                <w:rFonts w:ascii="Arial" w:hAnsi="Arial" w:cs="Arial"/>
              </w:rPr>
              <w:t>3</w:t>
            </w:r>
          </w:p>
        </w:tc>
        <w:tc>
          <w:tcPr>
            <w:tcW w:w="1700" w:type="dxa"/>
            <w:gridSpan w:val="3"/>
          </w:tcPr>
          <w:p w:rsidRPr="002A2904" w:rsidR="00C875F4" w:rsidP="00C875F4" w:rsidRDefault="00C05953" w14:paraId="16483E00" w14:textId="403EB200">
            <w:pPr>
              <w:jc w:val="center"/>
              <w:rPr>
                <w:rFonts w:ascii="Arial" w:hAnsi="Arial" w:cs="Arial"/>
              </w:rPr>
            </w:pPr>
            <w:r>
              <w:rPr>
                <w:rFonts w:ascii="Arial" w:hAnsi="Arial" w:cs="Arial"/>
              </w:rPr>
              <w:t>0</w:t>
            </w:r>
          </w:p>
        </w:tc>
      </w:tr>
      <w:tr w:rsidRPr="002A2904" w:rsidR="00C875F4" w:rsidTr="00A72FAF" w14:paraId="5C8AD039" w14:textId="77777777">
        <w:tc>
          <w:tcPr>
            <w:tcW w:w="1838" w:type="dxa"/>
          </w:tcPr>
          <w:p w:rsidRPr="002A2904" w:rsidR="00C875F4" w:rsidP="00C875F4" w:rsidRDefault="00C875F4" w14:paraId="66A1DC71" w14:textId="77777777">
            <w:pPr>
              <w:rPr>
                <w:rFonts w:ascii="Arial" w:hAnsi="Arial" w:cs="Arial"/>
              </w:rPr>
            </w:pPr>
            <w:r w:rsidRPr="002A2904">
              <w:rPr>
                <w:rFonts w:ascii="Arial" w:hAnsi="Arial" w:cs="Arial"/>
              </w:rPr>
              <w:t>MS/9495/10322</w:t>
            </w:r>
          </w:p>
        </w:tc>
        <w:tc>
          <w:tcPr>
            <w:tcW w:w="2126" w:type="dxa"/>
            <w:gridSpan w:val="3"/>
          </w:tcPr>
          <w:p w:rsidRPr="002A2904" w:rsidR="00C875F4" w:rsidP="00C875F4" w:rsidRDefault="00C875F4" w14:paraId="6A92BB2E" w14:textId="77777777">
            <w:pPr>
              <w:spacing w:line="240" w:lineRule="exact"/>
              <w:rPr>
                <w:rFonts w:ascii="Arial" w:hAnsi="Arial" w:cs="Arial"/>
              </w:rPr>
            </w:pPr>
          </w:p>
        </w:tc>
        <w:tc>
          <w:tcPr>
            <w:tcW w:w="6946" w:type="dxa"/>
            <w:gridSpan w:val="5"/>
          </w:tcPr>
          <w:p w:rsidRPr="002A2904" w:rsidR="00C875F4" w:rsidP="00C875F4" w:rsidRDefault="00C875F4" w14:paraId="1A23D5A4" w14:textId="77777777">
            <w:pPr>
              <w:rPr>
                <w:rFonts w:ascii="Arial" w:hAnsi="Arial" w:cs="Arial"/>
              </w:rPr>
            </w:pPr>
            <w:r w:rsidRPr="002A2904">
              <w:rPr>
                <w:rFonts w:ascii="Arial" w:hAnsi="Arial" w:cs="Arial"/>
              </w:rPr>
              <w:t>We continue to support the approach being taken to complete the Information Asset Register and this should look to be completed as soon as is practical and how the National Enabling Programme progresses.</w:t>
            </w:r>
          </w:p>
          <w:p w:rsidRPr="002A2904" w:rsidR="00C875F4" w:rsidP="00C875F4" w:rsidRDefault="00C875F4" w14:paraId="6BC7A6B4" w14:textId="77777777">
            <w:pPr>
              <w:rPr>
                <w:rFonts w:ascii="Arial" w:hAnsi="Arial" w:cs="Arial"/>
                <w:b/>
              </w:rPr>
            </w:pPr>
          </w:p>
        </w:tc>
        <w:tc>
          <w:tcPr>
            <w:tcW w:w="1419" w:type="dxa"/>
          </w:tcPr>
          <w:p w:rsidRPr="002A2904" w:rsidR="00C875F4" w:rsidP="00C875F4" w:rsidRDefault="00C875F4" w14:paraId="65533515" w14:textId="77777777">
            <w:pPr>
              <w:jc w:val="center"/>
              <w:rPr>
                <w:rFonts w:ascii="Arial" w:hAnsi="Arial" w:cs="Arial"/>
              </w:rPr>
            </w:pPr>
          </w:p>
        </w:tc>
        <w:tc>
          <w:tcPr>
            <w:tcW w:w="1700" w:type="dxa"/>
            <w:gridSpan w:val="3"/>
          </w:tcPr>
          <w:p w:rsidRPr="002A2904" w:rsidR="00C875F4" w:rsidP="00C875F4" w:rsidRDefault="00C875F4" w14:paraId="442863D6" w14:textId="77777777">
            <w:pPr>
              <w:jc w:val="center"/>
              <w:rPr>
                <w:rFonts w:ascii="Arial" w:hAnsi="Arial" w:cs="Arial"/>
              </w:rPr>
            </w:pPr>
          </w:p>
        </w:tc>
      </w:tr>
      <w:tr w:rsidRPr="002A2904" w:rsidR="00C875F4" w:rsidTr="00A72FAF" w14:paraId="220C90AC" w14:textId="77777777">
        <w:tc>
          <w:tcPr>
            <w:tcW w:w="1838" w:type="dxa"/>
            <w:shd w:val="clear" w:color="auto" w:fill="auto"/>
          </w:tcPr>
          <w:p w:rsidRPr="002A2904" w:rsidR="00C875F4" w:rsidP="00C875F4" w:rsidRDefault="00C875F4" w14:paraId="5462FF7C" w14:textId="77777777">
            <w:pPr>
              <w:rPr>
                <w:rFonts w:ascii="Arial" w:hAnsi="Arial" w:cs="Arial"/>
              </w:rPr>
            </w:pPr>
            <w:r w:rsidRPr="002A2904">
              <w:rPr>
                <w:rFonts w:ascii="Arial" w:hAnsi="Arial" w:cs="Arial"/>
              </w:rPr>
              <w:lastRenderedPageBreak/>
              <w:t>MS/b4ad/10322</w:t>
            </w:r>
          </w:p>
        </w:tc>
        <w:tc>
          <w:tcPr>
            <w:tcW w:w="2126" w:type="dxa"/>
            <w:gridSpan w:val="3"/>
            <w:shd w:val="clear" w:color="auto" w:fill="auto"/>
          </w:tcPr>
          <w:p w:rsidRPr="002A2904" w:rsidR="00C875F4" w:rsidP="00C875F4" w:rsidRDefault="00C875F4" w14:paraId="74F01DA6" w14:textId="77777777">
            <w:pPr>
              <w:rPr>
                <w:rFonts w:ascii="Arial" w:hAnsi="Arial" w:cs="Arial"/>
              </w:rPr>
            </w:pPr>
          </w:p>
        </w:tc>
        <w:tc>
          <w:tcPr>
            <w:tcW w:w="6946" w:type="dxa"/>
            <w:gridSpan w:val="5"/>
            <w:shd w:val="clear" w:color="auto" w:fill="auto"/>
          </w:tcPr>
          <w:p w:rsidR="00C875F4" w:rsidP="00C875F4" w:rsidRDefault="00C875F4" w14:paraId="3AAE4ED5" w14:textId="77777777">
            <w:pPr>
              <w:rPr>
                <w:rFonts w:ascii="Arial" w:hAnsi="Arial" w:cs="Arial"/>
                <w:szCs w:val="20"/>
              </w:rPr>
            </w:pPr>
            <w:r w:rsidRPr="002A2904">
              <w:rPr>
                <w:rFonts w:ascii="Arial" w:hAnsi="Arial" w:cs="Arial"/>
                <w:szCs w:val="20"/>
              </w:rPr>
              <w:t>The Force should review compliance statistics and take action to address the low take up of training.</w:t>
            </w:r>
          </w:p>
          <w:p w:rsidRPr="002A2904" w:rsidR="00C875F4" w:rsidP="00C875F4" w:rsidRDefault="00C875F4" w14:paraId="4C132003" w14:textId="77777777">
            <w:pPr>
              <w:rPr>
                <w:rFonts w:ascii="Arial" w:hAnsi="Arial" w:cs="Arial"/>
              </w:rPr>
            </w:pPr>
          </w:p>
        </w:tc>
        <w:tc>
          <w:tcPr>
            <w:tcW w:w="1419" w:type="dxa"/>
            <w:shd w:val="clear" w:color="auto" w:fill="auto"/>
          </w:tcPr>
          <w:p w:rsidRPr="002A2904" w:rsidR="00C875F4" w:rsidP="00C875F4" w:rsidRDefault="00C875F4" w14:paraId="14BFFCBE" w14:textId="77777777">
            <w:pPr>
              <w:rPr>
                <w:rFonts w:ascii="Arial" w:hAnsi="Arial" w:cs="Arial"/>
              </w:rPr>
            </w:pPr>
          </w:p>
        </w:tc>
        <w:tc>
          <w:tcPr>
            <w:tcW w:w="1700" w:type="dxa"/>
            <w:gridSpan w:val="3"/>
            <w:shd w:val="clear" w:color="auto" w:fill="auto"/>
          </w:tcPr>
          <w:p w:rsidRPr="002A2904" w:rsidR="00C875F4" w:rsidP="00C875F4" w:rsidRDefault="00C875F4" w14:paraId="244FBCD9" w14:textId="77777777">
            <w:pPr>
              <w:rPr>
                <w:rFonts w:ascii="Arial" w:hAnsi="Arial" w:cs="Arial"/>
              </w:rPr>
            </w:pPr>
          </w:p>
        </w:tc>
      </w:tr>
      <w:tr w:rsidRPr="007A5AF6" w:rsidR="00C25796" w:rsidTr="00A72FAF" w14:paraId="6A7D025E" w14:textId="77777777">
        <w:tc>
          <w:tcPr>
            <w:tcW w:w="1838" w:type="dxa"/>
            <w:shd w:val="clear" w:color="auto" w:fill="D9D9D9" w:themeFill="background1" w:themeFillShade="D9"/>
          </w:tcPr>
          <w:p w:rsidRPr="007A5AF6" w:rsidR="00C25796" w:rsidP="00A72FAF" w:rsidRDefault="00C25796" w14:paraId="615FDE13" w14:textId="77777777">
            <w:pPr>
              <w:rPr>
                <w:rFonts w:ascii="Arial" w:hAnsi="Arial" w:cs="Arial"/>
                <w:b/>
                <w:bCs/>
              </w:rPr>
            </w:pPr>
            <w:r>
              <w:rPr>
                <w:rFonts w:ascii="Arial" w:hAnsi="Arial" w:cs="Arial"/>
                <w:b/>
                <w:bCs/>
              </w:rPr>
              <w:t>March</w:t>
            </w:r>
            <w:r w:rsidRPr="007A5AF6">
              <w:rPr>
                <w:rFonts w:ascii="Arial" w:hAnsi="Arial" w:cs="Arial"/>
                <w:b/>
                <w:bCs/>
              </w:rPr>
              <w:t xml:space="preserve"> 202</w:t>
            </w:r>
            <w:r>
              <w:rPr>
                <w:rFonts w:ascii="Arial" w:hAnsi="Arial" w:cs="Arial"/>
                <w:b/>
                <w:bCs/>
              </w:rPr>
              <w:t>2</w:t>
            </w:r>
          </w:p>
        </w:tc>
        <w:tc>
          <w:tcPr>
            <w:tcW w:w="12191" w:type="dxa"/>
            <w:gridSpan w:val="12"/>
            <w:shd w:val="clear" w:color="auto" w:fill="D9D9D9" w:themeFill="background1" w:themeFillShade="D9"/>
          </w:tcPr>
          <w:p w:rsidRPr="007A5AF6" w:rsidR="00C25796" w:rsidP="00A72FAF" w:rsidRDefault="00C25796" w14:paraId="35D75CA3" w14:textId="1B2E1DE1">
            <w:pPr>
              <w:spacing w:line="240" w:lineRule="exact"/>
              <w:rPr>
                <w:rFonts w:ascii="Arial" w:hAnsi="Arial" w:cs="Arial"/>
                <w:b/>
                <w:bCs/>
              </w:rPr>
            </w:pPr>
            <w:r>
              <w:rPr>
                <w:rFonts w:ascii="Arial" w:hAnsi="Arial" w:cs="Arial"/>
                <w:b/>
                <w:bCs/>
              </w:rPr>
              <w:t>Information Assurance Follow Up – March 2022</w:t>
            </w:r>
          </w:p>
          <w:p w:rsidRPr="007A5AF6" w:rsidR="00C25796" w:rsidP="00A72FAF" w:rsidRDefault="00C25796" w14:paraId="2209BBF9" w14:textId="77777777">
            <w:pPr>
              <w:jc w:val="center"/>
              <w:rPr>
                <w:rFonts w:ascii="Arial" w:hAnsi="Arial" w:cs="Arial"/>
                <w:b/>
                <w:bCs/>
              </w:rPr>
            </w:pPr>
          </w:p>
        </w:tc>
      </w:tr>
      <w:tr w:rsidRPr="002A2904" w:rsidR="00C25796" w:rsidTr="00A72FAF" w14:paraId="4A45022C" w14:textId="77777777">
        <w:tc>
          <w:tcPr>
            <w:tcW w:w="1838" w:type="dxa"/>
          </w:tcPr>
          <w:p w:rsidRPr="002A2904" w:rsidR="00C25796" w:rsidP="00A72FAF" w:rsidRDefault="00C05953" w14:paraId="58D0B1DB" w14:textId="192A7306">
            <w:pPr>
              <w:rPr>
                <w:rFonts w:ascii="Arial" w:hAnsi="Arial" w:cs="Arial"/>
              </w:rPr>
            </w:pPr>
            <w:r>
              <w:rPr>
                <w:rFonts w:ascii="Arial" w:hAnsi="Arial" w:cs="Arial"/>
              </w:rPr>
              <w:t>MS/648c/10322</w:t>
            </w:r>
          </w:p>
        </w:tc>
        <w:tc>
          <w:tcPr>
            <w:tcW w:w="2126" w:type="dxa"/>
            <w:gridSpan w:val="3"/>
          </w:tcPr>
          <w:p w:rsidRPr="002A2904" w:rsidR="00C25796" w:rsidP="00A72FAF" w:rsidRDefault="00C25796" w14:paraId="5943F300" w14:textId="77777777">
            <w:pPr>
              <w:spacing w:line="240" w:lineRule="exact"/>
              <w:rPr>
                <w:rFonts w:ascii="Arial" w:hAnsi="Arial" w:cs="Arial"/>
              </w:rPr>
            </w:pPr>
          </w:p>
        </w:tc>
        <w:tc>
          <w:tcPr>
            <w:tcW w:w="6946" w:type="dxa"/>
            <w:gridSpan w:val="5"/>
          </w:tcPr>
          <w:p w:rsidR="00C25796" w:rsidP="00A72FAF" w:rsidRDefault="00C25796" w14:paraId="5451844A" w14:textId="77777777">
            <w:pPr>
              <w:rPr>
                <w:rFonts w:ascii="Arial" w:hAnsi="Arial" w:cs="Arial"/>
                <w:bCs/>
              </w:rPr>
            </w:pPr>
            <w:r>
              <w:rPr>
                <w:rFonts w:ascii="Arial" w:hAnsi="Arial" w:cs="Arial"/>
                <w:bCs/>
              </w:rPr>
              <w:t>As intended, the organisation must continue to liaise with NPRIMT in relation to the GIRR accreditation process.</w:t>
            </w:r>
          </w:p>
          <w:p w:rsidR="00C25796" w:rsidP="00A72FAF" w:rsidRDefault="00C25796" w14:paraId="5EB30198" w14:textId="77777777">
            <w:pPr>
              <w:rPr>
                <w:rFonts w:ascii="Arial" w:hAnsi="Arial" w:cs="Arial"/>
                <w:bCs/>
              </w:rPr>
            </w:pPr>
          </w:p>
          <w:p w:rsidR="00C25796" w:rsidP="00A72FAF" w:rsidRDefault="00C25796" w14:paraId="3CAD6D3C" w14:textId="77777777">
            <w:pPr>
              <w:rPr>
                <w:rFonts w:ascii="Arial" w:hAnsi="Arial" w:cs="Arial"/>
                <w:bCs/>
              </w:rPr>
            </w:pPr>
            <w:r>
              <w:rPr>
                <w:rFonts w:ascii="Arial" w:hAnsi="Arial" w:cs="Arial"/>
                <w:bCs/>
              </w:rPr>
              <w:t>The Force must look in the longer term to return to an annual cycle of compliance rather than an ongoing pattern of late submissions for the variety of frameworks it is required to comply with.</w:t>
            </w:r>
          </w:p>
          <w:p w:rsidRPr="00C25796" w:rsidR="00C25796" w:rsidP="00A72FAF" w:rsidRDefault="00C25796" w14:paraId="68E21AD4" w14:textId="06852371">
            <w:pPr>
              <w:rPr>
                <w:rFonts w:ascii="Arial" w:hAnsi="Arial" w:cs="Arial"/>
                <w:bCs/>
              </w:rPr>
            </w:pPr>
          </w:p>
        </w:tc>
        <w:tc>
          <w:tcPr>
            <w:tcW w:w="1419" w:type="dxa"/>
          </w:tcPr>
          <w:p w:rsidRPr="002A2904" w:rsidR="00C25796" w:rsidP="00A72FAF" w:rsidRDefault="00C05953" w14:paraId="452C36FE" w14:textId="403F78D3">
            <w:pPr>
              <w:jc w:val="center"/>
              <w:rPr>
                <w:rFonts w:ascii="Arial" w:hAnsi="Arial" w:cs="Arial"/>
              </w:rPr>
            </w:pPr>
            <w:r>
              <w:rPr>
                <w:rFonts w:ascii="Arial" w:hAnsi="Arial" w:cs="Arial"/>
              </w:rPr>
              <w:t>2</w:t>
            </w:r>
          </w:p>
        </w:tc>
        <w:tc>
          <w:tcPr>
            <w:tcW w:w="1700" w:type="dxa"/>
            <w:gridSpan w:val="3"/>
          </w:tcPr>
          <w:p w:rsidRPr="002A2904" w:rsidR="00C25796" w:rsidP="00A72FAF" w:rsidRDefault="00C05953" w14:paraId="4C469167" w14:textId="5E0B13C9">
            <w:pPr>
              <w:jc w:val="center"/>
              <w:rPr>
                <w:rFonts w:ascii="Arial" w:hAnsi="Arial" w:cs="Arial"/>
              </w:rPr>
            </w:pPr>
            <w:r>
              <w:rPr>
                <w:rFonts w:ascii="Arial" w:hAnsi="Arial" w:cs="Arial"/>
              </w:rPr>
              <w:t>0</w:t>
            </w:r>
          </w:p>
        </w:tc>
      </w:tr>
      <w:tr w:rsidRPr="002A2904" w:rsidR="00C25796" w:rsidTr="00A72FAF" w14:paraId="378973D1" w14:textId="77777777">
        <w:tc>
          <w:tcPr>
            <w:tcW w:w="1838" w:type="dxa"/>
          </w:tcPr>
          <w:p w:rsidRPr="002A2904" w:rsidR="00C25796" w:rsidP="00A72FAF" w:rsidRDefault="00C05953" w14:paraId="7AF89ECA" w14:textId="5C5EFA5C">
            <w:pPr>
              <w:rPr>
                <w:rFonts w:ascii="Arial" w:hAnsi="Arial" w:cs="Arial"/>
              </w:rPr>
            </w:pPr>
            <w:r>
              <w:rPr>
                <w:rFonts w:ascii="Arial" w:hAnsi="Arial" w:cs="Arial"/>
              </w:rPr>
              <w:t>MS/64a9/10322</w:t>
            </w:r>
          </w:p>
        </w:tc>
        <w:tc>
          <w:tcPr>
            <w:tcW w:w="2126" w:type="dxa"/>
            <w:gridSpan w:val="3"/>
          </w:tcPr>
          <w:p w:rsidRPr="002A2904" w:rsidR="00C25796" w:rsidP="00A72FAF" w:rsidRDefault="00C25796" w14:paraId="2EF0A90A" w14:textId="77777777">
            <w:pPr>
              <w:spacing w:line="240" w:lineRule="exact"/>
              <w:rPr>
                <w:rFonts w:ascii="Arial" w:hAnsi="Arial" w:cs="Arial"/>
              </w:rPr>
            </w:pPr>
          </w:p>
        </w:tc>
        <w:tc>
          <w:tcPr>
            <w:tcW w:w="6946" w:type="dxa"/>
            <w:gridSpan w:val="5"/>
          </w:tcPr>
          <w:p w:rsidR="00C25796" w:rsidP="00A72FAF" w:rsidRDefault="00C25796" w14:paraId="7D9AE61E" w14:textId="77777777">
            <w:pPr>
              <w:rPr>
                <w:rFonts w:ascii="Arial" w:hAnsi="Arial" w:cs="Arial"/>
                <w:bCs/>
              </w:rPr>
            </w:pPr>
            <w:r>
              <w:rPr>
                <w:rFonts w:ascii="Arial" w:hAnsi="Arial" w:cs="Arial"/>
                <w:bCs/>
              </w:rPr>
              <w:t>The Force needs to consider how best to address the responsibilities of an Information Security Officer role and how best to accommodate it within the structure.</w:t>
            </w:r>
          </w:p>
          <w:p w:rsidR="00C25796" w:rsidP="00A72FAF" w:rsidRDefault="00C25796" w14:paraId="6191AFA2" w14:textId="1B574265">
            <w:pPr>
              <w:rPr>
                <w:rFonts w:ascii="Arial" w:hAnsi="Arial" w:cs="Arial"/>
                <w:bCs/>
              </w:rPr>
            </w:pPr>
          </w:p>
        </w:tc>
        <w:tc>
          <w:tcPr>
            <w:tcW w:w="1419" w:type="dxa"/>
          </w:tcPr>
          <w:p w:rsidRPr="002A2904" w:rsidR="00C25796" w:rsidP="00A72FAF" w:rsidRDefault="00C25796" w14:paraId="2D0BD33D" w14:textId="77777777">
            <w:pPr>
              <w:jc w:val="center"/>
              <w:rPr>
                <w:rFonts w:ascii="Arial" w:hAnsi="Arial" w:cs="Arial"/>
              </w:rPr>
            </w:pPr>
          </w:p>
        </w:tc>
        <w:tc>
          <w:tcPr>
            <w:tcW w:w="1700" w:type="dxa"/>
            <w:gridSpan w:val="3"/>
          </w:tcPr>
          <w:p w:rsidRPr="002A2904" w:rsidR="00C25796" w:rsidP="00A72FAF" w:rsidRDefault="00C25796" w14:paraId="39B38887" w14:textId="77777777">
            <w:pPr>
              <w:jc w:val="center"/>
              <w:rPr>
                <w:rFonts w:ascii="Arial" w:hAnsi="Arial" w:cs="Arial"/>
              </w:rPr>
            </w:pPr>
          </w:p>
        </w:tc>
      </w:tr>
      <w:tr w:rsidRPr="007A5AF6" w:rsidR="00350FBA" w:rsidTr="00A72FAF" w14:paraId="6CF04056" w14:textId="77777777">
        <w:tc>
          <w:tcPr>
            <w:tcW w:w="1838" w:type="dxa"/>
            <w:shd w:val="clear" w:color="auto" w:fill="D9D9D9" w:themeFill="background1" w:themeFillShade="D9"/>
          </w:tcPr>
          <w:p w:rsidRPr="007A5AF6" w:rsidR="00350FBA" w:rsidP="00A72FAF" w:rsidRDefault="00350FBA" w14:paraId="6EE8F351" w14:textId="77777777">
            <w:pPr>
              <w:rPr>
                <w:rFonts w:ascii="Arial" w:hAnsi="Arial" w:cs="Arial"/>
                <w:b/>
                <w:bCs/>
              </w:rPr>
            </w:pPr>
            <w:r>
              <w:rPr>
                <w:rFonts w:ascii="Arial" w:hAnsi="Arial" w:cs="Arial"/>
                <w:b/>
                <w:bCs/>
              </w:rPr>
              <w:t>March 2022</w:t>
            </w:r>
          </w:p>
        </w:tc>
        <w:tc>
          <w:tcPr>
            <w:tcW w:w="12191" w:type="dxa"/>
            <w:gridSpan w:val="12"/>
            <w:shd w:val="clear" w:color="auto" w:fill="D9D9D9" w:themeFill="background1" w:themeFillShade="D9"/>
          </w:tcPr>
          <w:p w:rsidRPr="007A5AF6" w:rsidR="00350FBA" w:rsidP="00A72FAF" w:rsidRDefault="00350FBA" w14:paraId="79CB6FF2" w14:textId="77777777">
            <w:pPr>
              <w:rPr>
                <w:rFonts w:ascii="Arial" w:hAnsi="Arial" w:cs="Arial"/>
                <w:b/>
                <w:bCs/>
              </w:rPr>
            </w:pPr>
            <w:r w:rsidRPr="007A5AF6">
              <w:rPr>
                <w:rFonts w:ascii="Arial" w:hAnsi="Arial" w:cs="Arial"/>
                <w:b/>
                <w:bCs/>
              </w:rPr>
              <w:t xml:space="preserve">Risk Management </w:t>
            </w:r>
            <w:r>
              <w:rPr>
                <w:rFonts w:ascii="Arial" w:hAnsi="Arial" w:cs="Arial"/>
                <w:b/>
                <w:bCs/>
              </w:rPr>
              <w:t>2021-2022</w:t>
            </w:r>
          </w:p>
          <w:p w:rsidRPr="007A5AF6" w:rsidR="00350FBA" w:rsidP="00A72FAF" w:rsidRDefault="00350FBA" w14:paraId="0C928B22" w14:textId="77777777">
            <w:pPr>
              <w:rPr>
                <w:rFonts w:ascii="Arial" w:hAnsi="Arial" w:cs="Arial"/>
                <w:b/>
                <w:bCs/>
              </w:rPr>
            </w:pPr>
          </w:p>
        </w:tc>
      </w:tr>
      <w:tr w:rsidRPr="007A5AF6" w:rsidR="00350FBA" w:rsidTr="00A72FAF" w14:paraId="5BB838F3" w14:textId="77777777">
        <w:tc>
          <w:tcPr>
            <w:tcW w:w="1838" w:type="dxa"/>
          </w:tcPr>
          <w:p w:rsidRPr="007A5AF6" w:rsidR="00350FBA" w:rsidP="00A72FAF" w:rsidRDefault="00350FBA" w14:paraId="57E10ACB" w14:textId="77777777">
            <w:pPr>
              <w:rPr>
                <w:rFonts w:ascii="Arial" w:hAnsi="Arial" w:cs="Arial"/>
              </w:rPr>
            </w:pPr>
            <w:r>
              <w:rPr>
                <w:rFonts w:ascii="Arial" w:hAnsi="Arial" w:cs="Arial"/>
              </w:rPr>
              <w:t>MS/3485/2322</w:t>
            </w:r>
          </w:p>
        </w:tc>
        <w:tc>
          <w:tcPr>
            <w:tcW w:w="2126" w:type="dxa"/>
            <w:gridSpan w:val="3"/>
          </w:tcPr>
          <w:p w:rsidRPr="007A5AF6" w:rsidR="00350FBA" w:rsidP="00A72FAF" w:rsidRDefault="00350FBA" w14:paraId="6F67E8C8" w14:textId="77777777">
            <w:pPr>
              <w:rPr>
                <w:rFonts w:ascii="Arial" w:hAnsi="Arial" w:cs="Arial"/>
              </w:rPr>
            </w:pPr>
          </w:p>
        </w:tc>
        <w:tc>
          <w:tcPr>
            <w:tcW w:w="6946" w:type="dxa"/>
            <w:gridSpan w:val="5"/>
          </w:tcPr>
          <w:p w:rsidRPr="007A5AF6" w:rsidR="00350FBA" w:rsidP="00A72FAF" w:rsidRDefault="00350FBA" w14:paraId="005A3519" w14:textId="77777777">
            <w:pPr>
              <w:spacing w:line="280" w:lineRule="exact"/>
              <w:jc w:val="both"/>
              <w:rPr>
                <w:rFonts w:ascii="Arial" w:hAnsi="Arial" w:cs="Arial"/>
              </w:rPr>
            </w:pPr>
            <w:r w:rsidRPr="007A5AF6">
              <w:rPr>
                <w:rFonts w:ascii="Arial" w:hAnsi="Arial" w:cs="Arial"/>
              </w:rPr>
              <w:t xml:space="preserve">The Force should ensure that a thorough review is undertaken of the Force’s departmental risk registers, so that risks that are inherent to the respective departments are identified and scored, as stated in the Risk Management Strategy. </w:t>
            </w:r>
          </w:p>
          <w:p w:rsidRPr="007A5AF6" w:rsidR="00350FBA" w:rsidP="00A72FAF" w:rsidRDefault="00350FBA" w14:paraId="1FB3BE0D" w14:textId="77777777">
            <w:pPr>
              <w:rPr>
                <w:rFonts w:ascii="Arial" w:hAnsi="Arial" w:cs="Arial"/>
              </w:rPr>
            </w:pPr>
          </w:p>
        </w:tc>
        <w:tc>
          <w:tcPr>
            <w:tcW w:w="1419" w:type="dxa"/>
          </w:tcPr>
          <w:p w:rsidRPr="00900CB1" w:rsidR="00350FBA" w:rsidP="00A72FAF" w:rsidRDefault="00350FBA" w14:paraId="4D8EB484" w14:textId="77777777">
            <w:pPr>
              <w:jc w:val="center"/>
              <w:rPr>
                <w:rFonts w:ascii="Arial" w:hAnsi="Arial" w:cs="Arial"/>
              </w:rPr>
            </w:pPr>
            <w:r>
              <w:rPr>
                <w:rFonts w:ascii="Arial" w:hAnsi="Arial" w:cs="Arial"/>
              </w:rPr>
              <w:t>4</w:t>
            </w:r>
          </w:p>
        </w:tc>
        <w:tc>
          <w:tcPr>
            <w:tcW w:w="1700" w:type="dxa"/>
            <w:gridSpan w:val="3"/>
          </w:tcPr>
          <w:p w:rsidRPr="00900CB1" w:rsidR="00350FBA" w:rsidP="00A72FAF" w:rsidRDefault="00350FBA" w14:paraId="76B0123A" w14:textId="77777777">
            <w:pPr>
              <w:jc w:val="center"/>
              <w:rPr>
                <w:rFonts w:ascii="Arial" w:hAnsi="Arial" w:cs="Arial"/>
              </w:rPr>
            </w:pPr>
            <w:r w:rsidRPr="00900CB1">
              <w:rPr>
                <w:rFonts w:ascii="Arial" w:hAnsi="Arial" w:cs="Arial"/>
              </w:rPr>
              <w:t>0</w:t>
            </w:r>
          </w:p>
        </w:tc>
      </w:tr>
      <w:tr w:rsidRPr="007A5AF6" w:rsidR="00350FBA" w:rsidTr="00A72FAF" w14:paraId="7C749366" w14:textId="77777777">
        <w:tc>
          <w:tcPr>
            <w:tcW w:w="1838" w:type="dxa"/>
          </w:tcPr>
          <w:p w:rsidRPr="007A5AF6" w:rsidR="00350FBA" w:rsidP="00A72FAF" w:rsidRDefault="00350FBA" w14:paraId="456DA21C" w14:textId="77777777">
            <w:pPr>
              <w:rPr>
                <w:rFonts w:ascii="Arial" w:hAnsi="Arial" w:cs="Arial"/>
              </w:rPr>
            </w:pPr>
            <w:r>
              <w:rPr>
                <w:rFonts w:ascii="Arial" w:hAnsi="Arial" w:cs="Arial"/>
              </w:rPr>
              <w:t>MS/84bd/2322</w:t>
            </w:r>
          </w:p>
        </w:tc>
        <w:tc>
          <w:tcPr>
            <w:tcW w:w="2126" w:type="dxa"/>
            <w:gridSpan w:val="3"/>
          </w:tcPr>
          <w:p w:rsidRPr="007A5AF6" w:rsidR="00350FBA" w:rsidP="00A72FAF" w:rsidRDefault="00350FBA" w14:paraId="19F0F23A" w14:textId="77777777">
            <w:pPr>
              <w:rPr>
                <w:rFonts w:ascii="Arial" w:hAnsi="Arial" w:cs="Arial"/>
              </w:rPr>
            </w:pPr>
          </w:p>
        </w:tc>
        <w:tc>
          <w:tcPr>
            <w:tcW w:w="6946" w:type="dxa"/>
            <w:gridSpan w:val="5"/>
          </w:tcPr>
          <w:p w:rsidRPr="007A5AF6" w:rsidR="00350FBA" w:rsidP="00A72FAF" w:rsidRDefault="00350FBA" w14:paraId="4B895DAE" w14:textId="77777777">
            <w:pPr>
              <w:rPr>
                <w:rFonts w:ascii="Arial" w:hAnsi="Arial" w:cs="Arial"/>
              </w:rPr>
            </w:pPr>
            <w:r w:rsidRPr="007A5AF6">
              <w:rPr>
                <w:rFonts w:ascii="Arial" w:hAnsi="Arial" w:cs="Arial"/>
              </w:rPr>
              <w:t>The Force should ensure that all risk registers are complete and that appropriate controls are recorded for each risk. Where risk controls are being reviewed, the Force should ensure that interim controls are in place to effectively monitor risks.</w:t>
            </w:r>
          </w:p>
          <w:p w:rsidRPr="007A5AF6" w:rsidR="00350FBA" w:rsidP="00A72FAF" w:rsidRDefault="00350FBA" w14:paraId="6FDBC868" w14:textId="77777777">
            <w:pPr>
              <w:rPr>
                <w:rFonts w:ascii="Arial" w:hAnsi="Arial" w:cs="Arial"/>
              </w:rPr>
            </w:pPr>
          </w:p>
        </w:tc>
        <w:tc>
          <w:tcPr>
            <w:tcW w:w="1419" w:type="dxa"/>
          </w:tcPr>
          <w:p w:rsidRPr="007A5AF6" w:rsidR="00350FBA" w:rsidP="00A72FAF" w:rsidRDefault="00350FBA" w14:paraId="5DA422B5" w14:textId="77777777">
            <w:pPr>
              <w:rPr>
                <w:rFonts w:ascii="Arial" w:hAnsi="Arial" w:cs="Arial"/>
              </w:rPr>
            </w:pPr>
          </w:p>
        </w:tc>
        <w:tc>
          <w:tcPr>
            <w:tcW w:w="1700" w:type="dxa"/>
            <w:gridSpan w:val="3"/>
          </w:tcPr>
          <w:p w:rsidRPr="007A5AF6" w:rsidR="00350FBA" w:rsidP="00A72FAF" w:rsidRDefault="00350FBA" w14:paraId="7CD46D5D" w14:textId="77777777">
            <w:pPr>
              <w:rPr>
                <w:rFonts w:ascii="Arial" w:hAnsi="Arial" w:cs="Arial"/>
              </w:rPr>
            </w:pPr>
          </w:p>
        </w:tc>
      </w:tr>
      <w:tr w:rsidRPr="007A5AF6" w:rsidR="00350FBA" w:rsidTr="00A72FAF" w14:paraId="09583BB1" w14:textId="77777777">
        <w:tc>
          <w:tcPr>
            <w:tcW w:w="1838" w:type="dxa"/>
          </w:tcPr>
          <w:p w:rsidRPr="007A5AF6" w:rsidR="00350FBA" w:rsidP="00A72FAF" w:rsidRDefault="00350FBA" w14:paraId="1F47B1C2" w14:textId="77777777">
            <w:pPr>
              <w:rPr>
                <w:rFonts w:ascii="Arial" w:hAnsi="Arial" w:cs="Arial"/>
              </w:rPr>
            </w:pPr>
            <w:r>
              <w:rPr>
                <w:rFonts w:ascii="Arial" w:hAnsi="Arial" w:cs="Arial"/>
              </w:rPr>
              <w:t>MS/0496/2322</w:t>
            </w:r>
          </w:p>
        </w:tc>
        <w:tc>
          <w:tcPr>
            <w:tcW w:w="2126" w:type="dxa"/>
            <w:gridSpan w:val="3"/>
          </w:tcPr>
          <w:p w:rsidRPr="007A5AF6" w:rsidR="00350FBA" w:rsidP="00A72FAF" w:rsidRDefault="00350FBA" w14:paraId="1C7B2324" w14:textId="77777777">
            <w:pPr>
              <w:rPr>
                <w:rFonts w:ascii="Arial" w:hAnsi="Arial" w:cs="Arial"/>
              </w:rPr>
            </w:pPr>
          </w:p>
        </w:tc>
        <w:tc>
          <w:tcPr>
            <w:tcW w:w="6946" w:type="dxa"/>
            <w:gridSpan w:val="5"/>
          </w:tcPr>
          <w:p w:rsidRPr="007A5AF6" w:rsidR="00350FBA" w:rsidP="00A72FAF" w:rsidRDefault="00350FBA" w14:paraId="3AFFD061" w14:textId="77777777">
            <w:pPr>
              <w:spacing w:line="280" w:lineRule="exact"/>
              <w:jc w:val="both"/>
              <w:rPr>
                <w:rFonts w:ascii="Arial" w:hAnsi="Arial" w:cs="Arial"/>
              </w:rPr>
            </w:pPr>
            <w:r w:rsidRPr="007A5AF6">
              <w:rPr>
                <w:rFonts w:ascii="Arial" w:hAnsi="Arial" w:cs="Arial"/>
              </w:rPr>
              <w:t>The Force should ensure that further training is provided to users of the JCAD system to ensure that appropriate controls are recorded to mitigate the risks identified.</w:t>
            </w:r>
          </w:p>
          <w:p w:rsidRPr="007A5AF6" w:rsidR="00350FBA" w:rsidP="00A72FAF" w:rsidRDefault="00350FBA" w14:paraId="02E9EAD7" w14:textId="77777777">
            <w:pPr>
              <w:rPr>
                <w:rFonts w:ascii="Arial" w:hAnsi="Arial" w:cs="Arial"/>
              </w:rPr>
            </w:pPr>
          </w:p>
        </w:tc>
        <w:tc>
          <w:tcPr>
            <w:tcW w:w="1419" w:type="dxa"/>
          </w:tcPr>
          <w:p w:rsidRPr="007A5AF6" w:rsidR="00350FBA" w:rsidP="00A72FAF" w:rsidRDefault="00350FBA" w14:paraId="62E2E629" w14:textId="77777777">
            <w:pPr>
              <w:rPr>
                <w:rFonts w:ascii="Arial" w:hAnsi="Arial" w:cs="Arial"/>
              </w:rPr>
            </w:pPr>
          </w:p>
        </w:tc>
        <w:tc>
          <w:tcPr>
            <w:tcW w:w="1700" w:type="dxa"/>
            <w:gridSpan w:val="3"/>
          </w:tcPr>
          <w:p w:rsidRPr="007A5AF6" w:rsidR="00350FBA" w:rsidP="00A72FAF" w:rsidRDefault="00350FBA" w14:paraId="35A4AB9B" w14:textId="77777777">
            <w:pPr>
              <w:rPr>
                <w:rFonts w:ascii="Arial" w:hAnsi="Arial" w:cs="Arial"/>
              </w:rPr>
            </w:pPr>
          </w:p>
        </w:tc>
      </w:tr>
    </w:tbl>
    <w:p w:rsidR="003E4D45" w:rsidRDefault="003E4D45" w14:paraId="6796FBA3" w14:textId="77777777">
      <w:r>
        <w:br w:type="page"/>
      </w:r>
    </w:p>
    <w:tbl>
      <w:tblPr>
        <w:tblStyle w:val="TableGrid"/>
        <w:tblW w:w="14029" w:type="dxa"/>
        <w:tblLook w:val="04A0" w:firstRow="1" w:lastRow="0" w:firstColumn="1" w:lastColumn="0" w:noHBand="0" w:noVBand="1"/>
      </w:tblPr>
      <w:tblGrid>
        <w:gridCol w:w="1838"/>
        <w:gridCol w:w="2126"/>
        <w:gridCol w:w="6946"/>
        <w:gridCol w:w="1419"/>
        <w:gridCol w:w="1700"/>
      </w:tblGrid>
      <w:tr w:rsidRPr="007A5AF6" w:rsidR="00350FBA" w:rsidTr="00A72FAF" w14:paraId="6BF01AD4" w14:textId="77777777">
        <w:tc>
          <w:tcPr>
            <w:tcW w:w="1838" w:type="dxa"/>
          </w:tcPr>
          <w:p w:rsidR="00350FBA" w:rsidP="00A72FAF" w:rsidRDefault="00350FBA" w14:paraId="18F6BBBC" w14:textId="25F29DA8">
            <w:pPr>
              <w:rPr>
                <w:rFonts w:ascii="Arial" w:hAnsi="Arial" w:cs="Arial"/>
              </w:rPr>
            </w:pPr>
            <w:r>
              <w:rPr>
                <w:rFonts w:ascii="Arial" w:hAnsi="Arial" w:cs="Arial"/>
              </w:rPr>
              <w:lastRenderedPageBreak/>
              <w:t>MS/e4a4/2322</w:t>
            </w:r>
          </w:p>
        </w:tc>
        <w:tc>
          <w:tcPr>
            <w:tcW w:w="2126" w:type="dxa"/>
          </w:tcPr>
          <w:p w:rsidRPr="007A5AF6" w:rsidR="00350FBA" w:rsidP="00A72FAF" w:rsidRDefault="00350FBA" w14:paraId="4C8CEB3F" w14:textId="77777777">
            <w:pPr>
              <w:rPr>
                <w:rFonts w:ascii="Arial" w:hAnsi="Arial" w:cs="Arial"/>
              </w:rPr>
            </w:pPr>
          </w:p>
        </w:tc>
        <w:tc>
          <w:tcPr>
            <w:tcW w:w="6946" w:type="dxa"/>
          </w:tcPr>
          <w:p w:rsidR="00350FBA" w:rsidP="00A72FAF" w:rsidRDefault="00350FBA" w14:paraId="5529A275" w14:textId="77777777">
            <w:pPr>
              <w:spacing w:line="280" w:lineRule="exact"/>
              <w:jc w:val="both"/>
              <w:rPr>
                <w:rFonts w:ascii="Arial" w:hAnsi="Arial" w:cs="Arial"/>
              </w:rPr>
            </w:pPr>
            <w:r>
              <w:rPr>
                <w:rFonts w:ascii="Arial" w:hAnsi="Arial" w:cs="Arial"/>
              </w:rPr>
              <w:t xml:space="preserve">The Force should ensure the meeting minutes for the Organisational Risk, Learning, </w:t>
            </w:r>
            <w:proofErr w:type="gramStart"/>
            <w:r>
              <w:rPr>
                <w:rFonts w:ascii="Arial" w:hAnsi="Arial" w:cs="Arial"/>
              </w:rPr>
              <w:t>Standards</w:t>
            </w:r>
            <w:proofErr w:type="gramEnd"/>
            <w:r>
              <w:rPr>
                <w:rFonts w:ascii="Arial" w:hAnsi="Arial" w:cs="Arial"/>
              </w:rPr>
              <w:t xml:space="preserve"> and Integrity Board are well documented.</w:t>
            </w:r>
          </w:p>
          <w:p w:rsidRPr="007A5AF6" w:rsidR="00350FBA" w:rsidP="00A72FAF" w:rsidRDefault="00350FBA" w14:paraId="394A42CA" w14:textId="77777777">
            <w:pPr>
              <w:spacing w:line="280" w:lineRule="exact"/>
              <w:jc w:val="both"/>
              <w:rPr>
                <w:rFonts w:ascii="Arial" w:hAnsi="Arial" w:cs="Arial"/>
              </w:rPr>
            </w:pPr>
          </w:p>
        </w:tc>
        <w:tc>
          <w:tcPr>
            <w:tcW w:w="1419" w:type="dxa"/>
          </w:tcPr>
          <w:p w:rsidRPr="007A5AF6" w:rsidR="00350FBA" w:rsidP="00A72FAF" w:rsidRDefault="00350FBA" w14:paraId="70F10284" w14:textId="77777777">
            <w:pPr>
              <w:rPr>
                <w:rFonts w:ascii="Arial" w:hAnsi="Arial" w:cs="Arial"/>
              </w:rPr>
            </w:pPr>
          </w:p>
        </w:tc>
        <w:tc>
          <w:tcPr>
            <w:tcW w:w="1700" w:type="dxa"/>
          </w:tcPr>
          <w:p w:rsidRPr="007A5AF6" w:rsidR="00350FBA" w:rsidP="00A72FAF" w:rsidRDefault="00350FBA" w14:paraId="68FA7890" w14:textId="77777777">
            <w:pPr>
              <w:rPr>
                <w:rFonts w:ascii="Arial" w:hAnsi="Arial" w:cs="Arial"/>
              </w:rPr>
            </w:pPr>
          </w:p>
        </w:tc>
      </w:tr>
      <w:tr w:rsidRPr="007A5AF6" w:rsidR="00C875F4" w:rsidTr="00A72FAF" w14:paraId="072C338D" w14:textId="77777777">
        <w:tc>
          <w:tcPr>
            <w:tcW w:w="1838" w:type="dxa"/>
            <w:shd w:val="clear" w:color="auto" w:fill="D9D9D9" w:themeFill="background1" w:themeFillShade="D9"/>
          </w:tcPr>
          <w:p w:rsidRPr="007A5AF6" w:rsidR="00C875F4" w:rsidP="00A72FAF" w:rsidRDefault="003C7DC3" w14:paraId="21C57C1A" w14:textId="4F9AACC9">
            <w:pPr>
              <w:rPr>
                <w:rFonts w:ascii="Arial" w:hAnsi="Arial" w:cs="Arial"/>
                <w:b/>
                <w:bCs/>
              </w:rPr>
            </w:pPr>
            <w:r>
              <w:rPr>
                <w:rFonts w:ascii="Arial" w:hAnsi="Arial" w:cs="Arial"/>
                <w:b/>
                <w:bCs/>
              </w:rPr>
              <w:t>April</w:t>
            </w:r>
            <w:r w:rsidRPr="007A5AF6" w:rsidR="00C875F4">
              <w:rPr>
                <w:rFonts w:ascii="Arial" w:hAnsi="Arial" w:cs="Arial"/>
                <w:b/>
                <w:bCs/>
              </w:rPr>
              <w:t xml:space="preserve"> 202</w:t>
            </w:r>
            <w:r w:rsidR="00C875F4">
              <w:rPr>
                <w:rFonts w:ascii="Arial" w:hAnsi="Arial" w:cs="Arial"/>
                <w:b/>
                <w:bCs/>
              </w:rPr>
              <w:t>2</w:t>
            </w:r>
          </w:p>
        </w:tc>
        <w:tc>
          <w:tcPr>
            <w:tcW w:w="12191" w:type="dxa"/>
            <w:gridSpan w:val="4"/>
            <w:shd w:val="clear" w:color="auto" w:fill="D9D9D9" w:themeFill="background1" w:themeFillShade="D9"/>
          </w:tcPr>
          <w:p w:rsidRPr="007A5AF6" w:rsidR="00C875F4" w:rsidP="00A72FAF" w:rsidRDefault="003C7DC3" w14:paraId="3036A6B8" w14:textId="7780458B">
            <w:pPr>
              <w:spacing w:line="240" w:lineRule="exact"/>
              <w:rPr>
                <w:rFonts w:ascii="Arial" w:hAnsi="Arial" w:cs="Arial"/>
                <w:b/>
                <w:bCs/>
              </w:rPr>
            </w:pPr>
            <w:r>
              <w:rPr>
                <w:rFonts w:ascii="Arial" w:hAnsi="Arial" w:cs="Arial"/>
                <w:b/>
                <w:bCs/>
              </w:rPr>
              <w:t>Health and Safety Follow Up</w:t>
            </w:r>
          </w:p>
          <w:p w:rsidRPr="007A5AF6" w:rsidR="00C875F4" w:rsidP="00A72FAF" w:rsidRDefault="00C875F4" w14:paraId="3BA6C04E" w14:textId="77777777">
            <w:pPr>
              <w:jc w:val="center"/>
              <w:rPr>
                <w:rFonts w:ascii="Arial" w:hAnsi="Arial" w:cs="Arial"/>
                <w:b/>
                <w:bCs/>
              </w:rPr>
            </w:pPr>
          </w:p>
        </w:tc>
      </w:tr>
      <w:tr w:rsidRPr="002A2904" w:rsidR="00C875F4" w:rsidTr="00A72FAF" w14:paraId="48BE9136" w14:textId="77777777">
        <w:tc>
          <w:tcPr>
            <w:tcW w:w="1838" w:type="dxa"/>
          </w:tcPr>
          <w:p w:rsidRPr="002A2904" w:rsidR="00C875F4" w:rsidP="00A72FAF" w:rsidRDefault="00C05953" w14:paraId="45C25913" w14:textId="47E6E90E">
            <w:pPr>
              <w:rPr>
                <w:rFonts w:ascii="Arial" w:hAnsi="Arial" w:cs="Arial"/>
              </w:rPr>
            </w:pPr>
            <w:r>
              <w:rPr>
                <w:rFonts w:ascii="Arial" w:hAnsi="Arial" w:cs="Arial"/>
              </w:rPr>
              <w:t>CC/f4ab/20422</w:t>
            </w:r>
          </w:p>
        </w:tc>
        <w:tc>
          <w:tcPr>
            <w:tcW w:w="2126" w:type="dxa"/>
          </w:tcPr>
          <w:p w:rsidRPr="002A2904" w:rsidR="00C875F4" w:rsidP="00A72FAF" w:rsidRDefault="00C875F4" w14:paraId="4BE0183A" w14:textId="77777777">
            <w:pPr>
              <w:spacing w:line="240" w:lineRule="exact"/>
              <w:rPr>
                <w:rFonts w:ascii="Arial" w:hAnsi="Arial" w:cs="Arial"/>
              </w:rPr>
            </w:pPr>
          </w:p>
        </w:tc>
        <w:tc>
          <w:tcPr>
            <w:tcW w:w="6946" w:type="dxa"/>
          </w:tcPr>
          <w:p w:rsidR="00C875F4" w:rsidP="00A72FAF" w:rsidRDefault="00C25796" w14:paraId="6F0E393E" w14:textId="53BD4BA5">
            <w:pPr>
              <w:rPr>
                <w:rFonts w:ascii="Arial" w:hAnsi="Arial" w:cs="Arial"/>
              </w:rPr>
            </w:pPr>
            <w:r>
              <w:rPr>
                <w:rFonts w:ascii="Arial" w:hAnsi="Arial" w:cs="Arial"/>
              </w:rPr>
              <w:t xml:space="preserve">The Health and Safety team should undertake trend analysis of cases where there are report errors and non-engagement from managers </w:t>
            </w:r>
            <w:proofErr w:type="gramStart"/>
            <w:r>
              <w:rPr>
                <w:rFonts w:ascii="Arial" w:hAnsi="Arial" w:cs="Arial"/>
              </w:rPr>
              <w:t>in order to</w:t>
            </w:r>
            <w:proofErr w:type="gramEnd"/>
            <w:r>
              <w:rPr>
                <w:rFonts w:ascii="Arial" w:hAnsi="Arial" w:cs="Arial"/>
              </w:rPr>
              <w:t xml:space="preserve"> highlight repeat offenders.</w:t>
            </w:r>
          </w:p>
          <w:p w:rsidR="00C25796" w:rsidP="00A72FAF" w:rsidRDefault="00C25796" w14:paraId="200BD4F5" w14:textId="00F57095">
            <w:pPr>
              <w:rPr>
                <w:rFonts w:ascii="Arial" w:hAnsi="Arial" w:cs="Arial"/>
              </w:rPr>
            </w:pPr>
          </w:p>
          <w:p w:rsidR="00C25796" w:rsidP="00A72FAF" w:rsidRDefault="00C25796" w14:paraId="62ECB2BC" w14:textId="2B4642B7">
            <w:pPr>
              <w:rPr>
                <w:rFonts w:ascii="Arial" w:hAnsi="Arial" w:cs="Arial"/>
              </w:rPr>
            </w:pPr>
            <w:r>
              <w:rPr>
                <w:rFonts w:ascii="Arial" w:hAnsi="Arial" w:cs="Arial"/>
              </w:rPr>
              <w:t>The results of trend analysis and incidents of non-engagement from line managers should be flagged and escalated to the H&amp;S Board (Gold).</w:t>
            </w:r>
          </w:p>
          <w:p w:rsidR="00C25796" w:rsidP="00A72FAF" w:rsidRDefault="00C25796" w14:paraId="417A42A4" w14:textId="0A5B7775">
            <w:pPr>
              <w:rPr>
                <w:rFonts w:ascii="Arial" w:hAnsi="Arial" w:cs="Arial"/>
              </w:rPr>
            </w:pPr>
          </w:p>
          <w:p w:rsidRPr="002A2904" w:rsidR="00C25796" w:rsidP="00A72FAF" w:rsidRDefault="00C25796" w14:paraId="720269DD" w14:textId="5ED207E2">
            <w:pPr>
              <w:rPr>
                <w:rFonts w:ascii="Arial" w:hAnsi="Arial" w:cs="Arial"/>
              </w:rPr>
            </w:pPr>
            <w:r>
              <w:rPr>
                <w:rFonts w:ascii="Arial" w:hAnsi="Arial" w:cs="Arial"/>
              </w:rPr>
              <w:t>Whether a minor injury is considered as a near miss during reporting should be clarified in guidance documents.</w:t>
            </w:r>
          </w:p>
          <w:p w:rsidRPr="002A2904" w:rsidR="00C875F4" w:rsidP="00A72FAF" w:rsidRDefault="00C875F4" w14:paraId="0FB6E701" w14:textId="77777777">
            <w:pPr>
              <w:rPr>
                <w:rFonts w:ascii="Arial" w:hAnsi="Arial" w:cs="Arial"/>
                <w:b/>
              </w:rPr>
            </w:pPr>
          </w:p>
        </w:tc>
        <w:tc>
          <w:tcPr>
            <w:tcW w:w="1419" w:type="dxa"/>
          </w:tcPr>
          <w:p w:rsidRPr="002A2904" w:rsidR="00C875F4" w:rsidP="00A72FAF" w:rsidRDefault="00C25796" w14:paraId="76C8BEFE" w14:textId="605A942C">
            <w:pPr>
              <w:jc w:val="center"/>
              <w:rPr>
                <w:rFonts w:ascii="Arial" w:hAnsi="Arial" w:cs="Arial"/>
              </w:rPr>
            </w:pPr>
            <w:r>
              <w:rPr>
                <w:rFonts w:ascii="Arial" w:hAnsi="Arial" w:cs="Arial"/>
              </w:rPr>
              <w:t>2</w:t>
            </w:r>
          </w:p>
        </w:tc>
        <w:tc>
          <w:tcPr>
            <w:tcW w:w="1700" w:type="dxa"/>
          </w:tcPr>
          <w:p w:rsidRPr="002A2904" w:rsidR="00C875F4" w:rsidP="00A72FAF" w:rsidRDefault="00C25796" w14:paraId="0E5407DE" w14:textId="14F490B7">
            <w:pPr>
              <w:jc w:val="center"/>
              <w:rPr>
                <w:rFonts w:ascii="Arial" w:hAnsi="Arial" w:cs="Arial"/>
              </w:rPr>
            </w:pPr>
            <w:r>
              <w:rPr>
                <w:rFonts w:ascii="Arial" w:hAnsi="Arial" w:cs="Arial"/>
              </w:rPr>
              <w:t>0</w:t>
            </w:r>
          </w:p>
        </w:tc>
      </w:tr>
      <w:tr w:rsidRPr="002A2904" w:rsidR="00C25796" w:rsidTr="00A72FAF" w14:paraId="623BCB86" w14:textId="77777777">
        <w:tc>
          <w:tcPr>
            <w:tcW w:w="1838" w:type="dxa"/>
          </w:tcPr>
          <w:p w:rsidRPr="002A2904" w:rsidR="00C25796" w:rsidP="00A72FAF" w:rsidRDefault="00C05953" w14:paraId="03E13B94" w14:textId="30EA80B7">
            <w:pPr>
              <w:rPr>
                <w:rFonts w:ascii="Arial" w:hAnsi="Arial" w:cs="Arial"/>
              </w:rPr>
            </w:pPr>
            <w:r>
              <w:rPr>
                <w:rFonts w:ascii="Arial" w:hAnsi="Arial" w:cs="Arial"/>
              </w:rPr>
              <w:t>CC/74b2/20422</w:t>
            </w:r>
          </w:p>
        </w:tc>
        <w:tc>
          <w:tcPr>
            <w:tcW w:w="2126" w:type="dxa"/>
          </w:tcPr>
          <w:p w:rsidRPr="002A2904" w:rsidR="00C25796" w:rsidP="00A72FAF" w:rsidRDefault="00C25796" w14:paraId="72B745F9" w14:textId="77777777">
            <w:pPr>
              <w:spacing w:line="240" w:lineRule="exact"/>
              <w:rPr>
                <w:rFonts w:ascii="Arial" w:hAnsi="Arial" w:cs="Arial"/>
              </w:rPr>
            </w:pPr>
          </w:p>
        </w:tc>
        <w:tc>
          <w:tcPr>
            <w:tcW w:w="6946" w:type="dxa"/>
          </w:tcPr>
          <w:p w:rsidR="00C25796" w:rsidP="00A72FAF" w:rsidRDefault="00C25796" w14:paraId="14011D1A" w14:textId="77777777">
            <w:pPr>
              <w:rPr>
                <w:rFonts w:ascii="Arial" w:hAnsi="Arial" w:cs="Arial"/>
              </w:rPr>
            </w:pPr>
            <w:r>
              <w:rPr>
                <w:rFonts w:ascii="Arial" w:hAnsi="Arial" w:cs="Arial"/>
              </w:rPr>
              <w:t xml:space="preserve">The </w:t>
            </w:r>
            <w:proofErr w:type="gramStart"/>
            <w:r>
              <w:rPr>
                <w:rFonts w:ascii="Arial" w:hAnsi="Arial" w:cs="Arial"/>
              </w:rPr>
              <w:t>Health</w:t>
            </w:r>
            <w:proofErr w:type="gramEnd"/>
            <w:r>
              <w:rPr>
                <w:rFonts w:ascii="Arial" w:hAnsi="Arial" w:cs="Arial"/>
              </w:rPr>
              <w:t xml:space="preserve"> and safety team should continue to monitor and prioritise the completion of mandatory training for staff.</w:t>
            </w:r>
          </w:p>
          <w:p w:rsidR="00C25796" w:rsidP="00A72FAF" w:rsidRDefault="00C25796" w14:paraId="14A80306" w14:textId="77777777">
            <w:pPr>
              <w:rPr>
                <w:rFonts w:ascii="Arial" w:hAnsi="Arial" w:cs="Arial"/>
              </w:rPr>
            </w:pPr>
          </w:p>
          <w:p w:rsidR="00C25796" w:rsidP="00A72FAF" w:rsidRDefault="00C25796" w14:paraId="5C94A7C1" w14:textId="77777777">
            <w:pPr>
              <w:rPr>
                <w:rFonts w:ascii="Arial" w:hAnsi="Arial" w:cs="Arial"/>
              </w:rPr>
            </w:pPr>
            <w:r>
              <w:rPr>
                <w:rFonts w:ascii="Arial" w:hAnsi="Arial" w:cs="Arial"/>
              </w:rPr>
              <w:t>The importance of completing the training should be effectively communicated to ensure completion rates are increased.</w:t>
            </w:r>
          </w:p>
          <w:p w:rsidR="00C25796" w:rsidP="00A72FAF" w:rsidRDefault="00C25796" w14:paraId="7C045DE9" w14:textId="6F604DC6">
            <w:pPr>
              <w:rPr>
                <w:rFonts w:ascii="Arial" w:hAnsi="Arial" w:cs="Arial"/>
              </w:rPr>
            </w:pPr>
          </w:p>
        </w:tc>
        <w:tc>
          <w:tcPr>
            <w:tcW w:w="1419" w:type="dxa"/>
          </w:tcPr>
          <w:p w:rsidRPr="002A2904" w:rsidR="00C25796" w:rsidP="00A72FAF" w:rsidRDefault="00C25796" w14:paraId="4E93A89B" w14:textId="77777777">
            <w:pPr>
              <w:jc w:val="center"/>
              <w:rPr>
                <w:rFonts w:ascii="Arial" w:hAnsi="Arial" w:cs="Arial"/>
              </w:rPr>
            </w:pPr>
          </w:p>
        </w:tc>
        <w:tc>
          <w:tcPr>
            <w:tcW w:w="1700" w:type="dxa"/>
          </w:tcPr>
          <w:p w:rsidRPr="002A2904" w:rsidR="00C25796" w:rsidP="00A72FAF" w:rsidRDefault="00C25796" w14:paraId="11B830FB" w14:textId="77777777">
            <w:pPr>
              <w:jc w:val="center"/>
              <w:rPr>
                <w:rFonts w:ascii="Arial" w:hAnsi="Arial" w:cs="Arial"/>
              </w:rPr>
            </w:pPr>
          </w:p>
        </w:tc>
      </w:tr>
      <w:tr w:rsidRPr="007A5AF6" w:rsidR="00BD21B8" w:rsidTr="00A72FAF" w14:paraId="52A36751" w14:textId="77777777">
        <w:tc>
          <w:tcPr>
            <w:tcW w:w="1838" w:type="dxa"/>
            <w:shd w:val="clear" w:color="auto" w:fill="D9D9D9" w:themeFill="background1" w:themeFillShade="D9"/>
          </w:tcPr>
          <w:p w:rsidRPr="007A5AF6" w:rsidR="00BD21B8" w:rsidP="00A72FAF" w:rsidRDefault="00BD21B8" w14:paraId="7C7C03DE" w14:textId="07D75679">
            <w:pPr>
              <w:rPr>
                <w:rFonts w:ascii="Arial" w:hAnsi="Arial" w:cs="Arial"/>
                <w:b/>
                <w:bCs/>
              </w:rPr>
            </w:pPr>
            <w:r>
              <w:rPr>
                <w:rFonts w:ascii="Arial" w:hAnsi="Arial" w:cs="Arial"/>
                <w:b/>
                <w:bCs/>
              </w:rPr>
              <w:t>May</w:t>
            </w:r>
            <w:r w:rsidRPr="007A5AF6">
              <w:rPr>
                <w:rFonts w:ascii="Arial" w:hAnsi="Arial" w:cs="Arial"/>
                <w:b/>
                <w:bCs/>
              </w:rPr>
              <w:t xml:space="preserve"> 202</w:t>
            </w:r>
            <w:r>
              <w:rPr>
                <w:rFonts w:ascii="Arial" w:hAnsi="Arial" w:cs="Arial"/>
                <w:b/>
                <w:bCs/>
              </w:rPr>
              <w:t>2</w:t>
            </w:r>
          </w:p>
        </w:tc>
        <w:tc>
          <w:tcPr>
            <w:tcW w:w="12191" w:type="dxa"/>
            <w:gridSpan w:val="4"/>
            <w:shd w:val="clear" w:color="auto" w:fill="D9D9D9" w:themeFill="background1" w:themeFillShade="D9"/>
          </w:tcPr>
          <w:p w:rsidRPr="007A5AF6" w:rsidR="00BD21B8" w:rsidP="00A72FAF" w:rsidRDefault="00BD21B8" w14:paraId="3CAD484C" w14:textId="56EAF627">
            <w:pPr>
              <w:spacing w:line="240" w:lineRule="exact"/>
              <w:rPr>
                <w:rFonts w:ascii="Arial" w:hAnsi="Arial" w:cs="Arial"/>
                <w:b/>
                <w:bCs/>
              </w:rPr>
            </w:pPr>
            <w:r>
              <w:rPr>
                <w:rFonts w:ascii="Arial" w:hAnsi="Arial" w:cs="Arial"/>
                <w:b/>
                <w:bCs/>
              </w:rPr>
              <w:t>Procurement - May 2022</w:t>
            </w:r>
          </w:p>
          <w:p w:rsidRPr="007A5AF6" w:rsidR="00BD21B8" w:rsidP="00A72FAF" w:rsidRDefault="00BD21B8" w14:paraId="5EBB4DC5" w14:textId="77777777">
            <w:pPr>
              <w:jc w:val="center"/>
              <w:rPr>
                <w:rFonts w:ascii="Arial" w:hAnsi="Arial" w:cs="Arial"/>
                <w:b/>
                <w:bCs/>
              </w:rPr>
            </w:pPr>
          </w:p>
        </w:tc>
      </w:tr>
      <w:tr w:rsidRPr="002A2904" w:rsidR="00BD21B8" w:rsidTr="00A72FAF" w14:paraId="3C17CB2B" w14:textId="77777777">
        <w:tc>
          <w:tcPr>
            <w:tcW w:w="1838" w:type="dxa"/>
          </w:tcPr>
          <w:p w:rsidRPr="002A2904" w:rsidR="00BD21B8" w:rsidP="00BD21B8" w:rsidRDefault="003E4D45" w14:paraId="61BF65B7" w14:textId="6178545A">
            <w:pPr>
              <w:rPr>
                <w:rFonts w:ascii="Arial" w:hAnsi="Arial" w:cs="Arial"/>
              </w:rPr>
            </w:pPr>
            <w:r>
              <w:rPr>
                <w:rFonts w:ascii="Arial" w:hAnsi="Arial" w:cs="Arial"/>
              </w:rPr>
              <w:t>TBA</w:t>
            </w:r>
          </w:p>
        </w:tc>
        <w:tc>
          <w:tcPr>
            <w:tcW w:w="2126" w:type="dxa"/>
          </w:tcPr>
          <w:p w:rsidRPr="002A2904" w:rsidR="00BD21B8" w:rsidP="00BD21B8" w:rsidRDefault="00BD21B8" w14:paraId="06AE0EC7" w14:textId="77777777">
            <w:pPr>
              <w:spacing w:line="240" w:lineRule="exact"/>
              <w:rPr>
                <w:rFonts w:ascii="Arial" w:hAnsi="Arial" w:cs="Arial"/>
              </w:rPr>
            </w:pPr>
          </w:p>
        </w:tc>
        <w:tc>
          <w:tcPr>
            <w:tcW w:w="6946" w:type="dxa"/>
          </w:tcPr>
          <w:p w:rsidR="00BD21B8" w:rsidP="00BD21B8" w:rsidRDefault="00BD21B8" w14:paraId="17413DCE" w14:textId="77777777">
            <w:pPr>
              <w:rPr>
                <w:rFonts w:ascii="Arial" w:hAnsi="Arial" w:cs="Arial"/>
                <w:bCs/>
              </w:rPr>
            </w:pPr>
            <w:r>
              <w:rPr>
                <w:rFonts w:ascii="Arial" w:hAnsi="Arial" w:cs="Arial"/>
                <w:bCs/>
              </w:rPr>
              <w:t>The Force to review the Financial Regulations, including the Contract Standing Orders, to reflect any changes following the cessation of services from Mint and changes due to UK’s exit from the EU.</w:t>
            </w:r>
          </w:p>
          <w:p w:rsidRPr="002A2904" w:rsidR="00BD21B8" w:rsidP="00BD21B8" w:rsidRDefault="00BD21B8" w14:paraId="6C02297D" w14:textId="77777777">
            <w:pPr>
              <w:rPr>
                <w:rFonts w:ascii="Arial" w:hAnsi="Arial" w:cs="Arial"/>
                <w:b/>
              </w:rPr>
            </w:pPr>
          </w:p>
        </w:tc>
        <w:tc>
          <w:tcPr>
            <w:tcW w:w="1419" w:type="dxa"/>
          </w:tcPr>
          <w:p w:rsidRPr="002A2904" w:rsidR="00BD21B8" w:rsidP="00BD21B8" w:rsidRDefault="00BD21B8" w14:paraId="29FE8245" w14:textId="2C59E497">
            <w:pPr>
              <w:jc w:val="center"/>
              <w:rPr>
                <w:rFonts w:ascii="Arial" w:hAnsi="Arial" w:cs="Arial"/>
              </w:rPr>
            </w:pPr>
            <w:r>
              <w:rPr>
                <w:rFonts w:ascii="Arial" w:hAnsi="Arial" w:cs="Arial"/>
              </w:rPr>
              <w:t>3</w:t>
            </w:r>
          </w:p>
        </w:tc>
        <w:tc>
          <w:tcPr>
            <w:tcW w:w="1700" w:type="dxa"/>
          </w:tcPr>
          <w:p w:rsidRPr="002A2904" w:rsidR="00BD21B8" w:rsidP="00BD21B8" w:rsidRDefault="00BD21B8" w14:paraId="23D84D3C" w14:textId="220BCCAA">
            <w:pPr>
              <w:jc w:val="center"/>
              <w:rPr>
                <w:rFonts w:ascii="Arial" w:hAnsi="Arial" w:cs="Arial"/>
              </w:rPr>
            </w:pPr>
            <w:r>
              <w:rPr>
                <w:rFonts w:ascii="Arial" w:hAnsi="Arial" w:cs="Arial"/>
              </w:rPr>
              <w:t>0</w:t>
            </w:r>
          </w:p>
        </w:tc>
      </w:tr>
      <w:tr w:rsidRPr="002A2904" w:rsidR="00BD21B8" w:rsidTr="00A72FAF" w14:paraId="1FBC368B" w14:textId="77777777">
        <w:tc>
          <w:tcPr>
            <w:tcW w:w="1838" w:type="dxa"/>
          </w:tcPr>
          <w:p w:rsidRPr="002A2904" w:rsidR="00BD21B8" w:rsidP="00A72FAF" w:rsidRDefault="003E4D45" w14:paraId="0933CCFA" w14:textId="72BB002D">
            <w:pPr>
              <w:rPr>
                <w:rFonts w:ascii="Arial" w:hAnsi="Arial" w:cs="Arial"/>
              </w:rPr>
            </w:pPr>
            <w:r>
              <w:rPr>
                <w:rFonts w:ascii="Arial" w:hAnsi="Arial" w:cs="Arial"/>
              </w:rPr>
              <w:t>TBA</w:t>
            </w:r>
          </w:p>
        </w:tc>
        <w:tc>
          <w:tcPr>
            <w:tcW w:w="2126" w:type="dxa"/>
          </w:tcPr>
          <w:p w:rsidRPr="002A2904" w:rsidR="00BD21B8" w:rsidP="00A72FAF" w:rsidRDefault="00BD21B8" w14:paraId="234B4746" w14:textId="77777777">
            <w:pPr>
              <w:spacing w:line="240" w:lineRule="exact"/>
              <w:rPr>
                <w:rFonts w:ascii="Arial" w:hAnsi="Arial" w:cs="Arial"/>
              </w:rPr>
            </w:pPr>
          </w:p>
        </w:tc>
        <w:tc>
          <w:tcPr>
            <w:tcW w:w="6946" w:type="dxa"/>
          </w:tcPr>
          <w:p w:rsidR="00BD21B8" w:rsidP="00A72FAF" w:rsidRDefault="00BD21B8" w14:paraId="2F94B0A7" w14:textId="77777777">
            <w:pPr>
              <w:rPr>
                <w:rFonts w:ascii="Arial" w:hAnsi="Arial" w:cs="Arial"/>
                <w:bCs/>
              </w:rPr>
            </w:pPr>
            <w:r>
              <w:rPr>
                <w:rFonts w:ascii="Arial" w:hAnsi="Arial" w:cs="Arial"/>
                <w:bCs/>
              </w:rPr>
              <w:t>The Force to implement monitoring and testing of procurement activity to ensure compliance with the temporary limits.</w:t>
            </w:r>
          </w:p>
          <w:p w:rsidR="00BD21B8" w:rsidP="00A72FAF" w:rsidRDefault="00BD21B8" w14:paraId="19FA019A" w14:textId="6DC4BD07">
            <w:pPr>
              <w:rPr>
                <w:rFonts w:ascii="Arial" w:hAnsi="Arial" w:cs="Arial"/>
                <w:bCs/>
              </w:rPr>
            </w:pPr>
          </w:p>
        </w:tc>
        <w:tc>
          <w:tcPr>
            <w:tcW w:w="1419" w:type="dxa"/>
          </w:tcPr>
          <w:p w:rsidRPr="002A2904" w:rsidR="00BD21B8" w:rsidP="00A72FAF" w:rsidRDefault="00BD21B8" w14:paraId="271C3B20" w14:textId="77777777">
            <w:pPr>
              <w:jc w:val="center"/>
              <w:rPr>
                <w:rFonts w:ascii="Arial" w:hAnsi="Arial" w:cs="Arial"/>
              </w:rPr>
            </w:pPr>
          </w:p>
        </w:tc>
        <w:tc>
          <w:tcPr>
            <w:tcW w:w="1700" w:type="dxa"/>
          </w:tcPr>
          <w:p w:rsidRPr="002A2904" w:rsidR="00BD21B8" w:rsidP="00A72FAF" w:rsidRDefault="00BD21B8" w14:paraId="01150DBA" w14:textId="77777777">
            <w:pPr>
              <w:jc w:val="center"/>
              <w:rPr>
                <w:rFonts w:ascii="Arial" w:hAnsi="Arial" w:cs="Arial"/>
              </w:rPr>
            </w:pPr>
          </w:p>
        </w:tc>
      </w:tr>
    </w:tbl>
    <w:p w:rsidR="003E4D45" w:rsidRDefault="003E4D45" w14:paraId="6ED72C35" w14:textId="77777777">
      <w:r>
        <w:br w:type="page"/>
      </w:r>
    </w:p>
    <w:tbl>
      <w:tblPr>
        <w:tblStyle w:val="TableGrid"/>
        <w:tblW w:w="14029" w:type="dxa"/>
        <w:tblLook w:val="04A0" w:firstRow="1" w:lastRow="0" w:firstColumn="1" w:lastColumn="0" w:noHBand="0" w:noVBand="1"/>
      </w:tblPr>
      <w:tblGrid>
        <w:gridCol w:w="1838"/>
        <w:gridCol w:w="2126"/>
        <w:gridCol w:w="6946"/>
        <w:gridCol w:w="1419"/>
        <w:gridCol w:w="1700"/>
      </w:tblGrid>
      <w:tr w:rsidRPr="002A2904" w:rsidR="00BD21B8" w:rsidTr="00A72FAF" w14:paraId="43FADFFC" w14:textId="77777777">
        <w:tc>
          <w:tcPr>
            <w:tcW w:w="1838" w:type="dxa"/>
          </w:tcPr>
          <w:p w:rsidRPr="002A2904" w:rsidR="00BD21B8" w:rsidP="00A72FAF" w:rsidRDefault="003E4D45" w14:paraId="62BAD0B4" w14:textId="643BB127">
            <w:pPr>
              <w:rPr>
                <w:rFonts w:ascii="Arial" w:hAnsi="Arial" w:cs="Arial"/>
              </w:rPr>
            </w:pPr>
            <w:r>
              <w:rPr>
                <w:rFonts w:ascii="Arial" w:hAnsi="Arial" w:cs="Arial"/>
              </w:rPr>
              <w:lastRenderedPageBreak/>
              <w:t>TBA</w:t>
            </w:r>
          </w:p>
        </w:tc>
        <w:tc>
          <w:tcPr>
            <w:tcW w:w="2126" w:type="dxa"/>
          </w:tcPr>
          <w:p w:rsidRPr="002A2904" w:rsidR="00BD21B8" w:rsidP="00A72FAF" w:rsidRDefault="00BD21B8" w14:paraId="33E58732" w14:textId="77777777">
            <w:pPr>
              <w:spacing w:line="240" w:lineRule="exact"/>
              <w:rPr>
                <w:rFonts w:ascii="Arial" w:hAnsi="Arial" w:cs="Arial"/>
              </w:rPr>
            </w:pPr>
          </w:p>
        </w:tc>
        <w:tc>
          <w:tcPr>
            <w:tcW w:w="6946" w:type="dxa"/>
          </w:tcPr>
          <w:p w:rsidR="00BD21B8" w:rsidP="00A72FAF" w:rsidRDefault="00BD21B8" w14:paraId="7DD9539A" w14:textId="77777777">
            <w:pPr>
              <w:rPr>
                <w:rFonts w:ascii="Arial" w:hAnsi="Arial" w:cs="Arial"/>
                <w:bCs/>
              </w:rPr>
            </w:pPr>
            <w:r>
              <w:rPr>
                <w:rFonts w:ascii="Arial" w:hAnsi="Arial" w:cs="Arial"/>
                <w:bCs/>
              </w:rPr>
              <w:t xml:space="preserve">The Force to determine and publish clear expectations for requestors and the procurement team with respect to the lead times required for procurement activities, including the authorisation of STAs, to ensure that services can be delivered when required and following appropriate procurement activity. </w:t>
            </w:r>
          </w:p>
          <w:p w:rsidR="00BD21B8" w:rsidP="00A72FAF" w:rsidRDefault="00BD21B8" w14:paraId="07806208" w14:textId="3EEBF9C2">
            <w:pPr>
              <w:rPr>
                <w:rFonts w:ascii="Arial" w:hAnsi="Arial" w:cs="Arial"/>
                <w:bCs/>
              </w:rPr>
            </w:pPr>
          </w:p>
        </w:tc>
        <w:tc>
          <w:tcPr>
            <w:tcW w:w="1419" w:type="dxa"/>
          </w:tcPr>
          <w:p w:rsidRPr="002A2904" w:rsidR="00BD21B8" w:rsidP="00A72FAF" w:rsidRDefault="00BD21B8" w14:paraId="633D90B7" w14:textId="77777777">
            <w:pPr>
              <w:jc w:val="center"/>
              <w:rPr>
                <w:rFonts w:ascii="Arial" w:hAnsi="Arial" w:cs="Arial"/>
              </w:rPr>
            </w:pPr>
          </w:p>
        </w:tc>
        <w:tc>
          <w:tcPr>
            <w:tcW w:w="1700" w:type="dxa"/>
          </w:tcPr>
          <w:p w:rsidRPr="002A2904" w:rsidR="00BD21B8" w:rsidP="00A72FAF" w:rsidRDefault="00BD21B8" w14:paraId="4BE5A514" w14:textId="77777777">
            <w:pPr>
              <w:jc w:val="center"/>
              <w:rPr>
                <w:rFonts w:ascii="Arial" w:hAnsi="Arial" w:cs="Arial"/>
              </w:rPr>
            </w:pPr>
          </w:p>
        </w:tc>
      </w:tr>
      <w:tr w:rsidRPr="007A5AF6" w:rsidR="00BD21B8" w:rsidTr="00A72FAF" w14:paraId="0B2FF5B9" w14:textId="77777777">
        <w:tc>
          <w:tcPr>
            <w:tcW w:w="1838" w:type="dxa"/>
            <w:shd w:val="clear" w:color="auto" w:fill="D9D9D9" w:themeFill="background1" w:themeFillShade="D9"/>
          </w:tcPr>
          <w:p w:rsidRPr="007A5AF6" w:rsidR="00BD21B8" w:rsidP="00A72FAF" w:rsidRDefault="00BD21B8" w14:paraId="388DB21B" w14:textId="77777777">
            <w:pPr>
              <w:rPr>
                <w:rFonts w:ascii="Arial" w:hAnsi="Arial" w:cs="Arial"/>
                <w:b/>
                <w:bCs/>
              </w:rPr>
            </w:pPr>
            <w:r>
              <w:rPr>
                <w:rFonts w:ascii="Arial" w:hAnsi="Arial" w:cs="Arial"/>
                <w:b/>
                <w:bCs/>
              </w:rPr>
              <w:t>May</w:t>
            </w:r>
            <w:r w:rsidRPr="007A5AF6">
              <w:rPr>
                <w:rFonts w:ascii="Arial" w:hAnsi="Arial" w:cs="Arial"/>
                <w:b/>
                <w:bCs/>
              </w:rPr>
              <w:t xml:space="preserve"> 202</w:t>
            </w:r>
            <w:r>
              <w:rPr>
                <w:rFonts w:ascii="Arial" w:hAnsi="Arial" w:cs="Arial"/>
                <w:b/>
                <w:bCs/>
              </w:rPr>
              <w:t>2</w:t>
            </w:r>
          </w:p>
        </w:tc>
        <w:tc>
          <w:tcPr>
            <w:tcW w:w="12191" w:type="dxa"/>
            <w:gridSpan w:val="4"/>
            <w:shd w:val="clear" w:color="auto" w:fill="D9D9D9" w:themeFill="background1" w:themeFillShade="D9"/>
          </w:tcPr>
          <w:p w:rsidRPr="007A5AF6" w:rsidR="00BD21B8" w:rsidP="00A72FAF" w:rsidRDefault="00BD21B8" w14:paraId="2EF67F8A" w14:textId="4E96702C">
            <w:pPr>
              <w:spacing w:line="240" w:lineRule="exact"/>
              <w:rPr>
                <w:rFonts w:ascii="Arial" w:hAnsi="Arial" w:cs="Arial"/>
                <w:b/>
                <w:bCs/>
              </w:rPr>
            </w:pPr>
            <w:r>
              <w:rPr>
                <w:rFonts w:ascii="Arial" w:hAnsi="Arial" w:cs="Arial"/>
                <w:b/>
                <w:bCs/>
              </w:rPr>
              <w:t>Partnerships</w:t>
            </w:r>
          </w:p>
          <w:p w:rsidRPr="007A5AF6" w:rsidR="00BD21B8" w:rsidP="00A72FAF" w:rsidRDefault="00BD21B8" w14:paraId="4187A0C8" w14:textId="77777777">
            <w:pPr>
              <w:jc w:val="center"/>
              <w:rPr>
                <w:rFonts w:ascii="Arial" w:hAnsi="Arial" w:cs="Arial"/>
                <w:b/>
                <w:bCs/>
              </w:rPr>
            </w:pPr>
          </w:p>
        </w:tc>
      </w:tr>
      <w:tr w:rsidRPr="002A2904" w:rsidR="00D061E9" w:rsidTr="00A72FAF" w14:paraId="6B48AE1C" w14:textId="77777777">
        <w:tc>
          <w:tcPr>
            <w:tcW w:w="1838" w:type="dxa"/>
          </w:tcPr>
          <w:p w:rsidRPr="002A2904" w:rsidR="00D061E9" w:rsidP="00A72FAF" w:rsidRDefault="003E4D45" w14:paraId="0AD1FDE7" w14:textId="612E5398">
            <w:pPr>
              <w:rPr>
                <w:rFonts w:ascii="Arial" w:hAnsi="Arial" w:cs="Arial"/>
              </w:rPr>
            </w:pPr>
            <w:r>
              <w:rPr>
                <w:rFonts w:ascii="Arial" w:hAnsi="Arial" w:cs="Arial"/>
              </w:rPr>
              <w:t>TBA</w:t>
            </w:r>
          </w:p>
        </w:tc>
        <w:tc>
          <w:tcPr>
            <w:tcW w:w="2126" w:type="dxa"/>
          </w:tcPr>
          <w:p w:rsidRPr="002A2904" w:rsidR="00D061E9" w:rsidP="00A72FAF" w:rsidRDefault="00D061E9" w14:paraId="350634B3" w14:textId="77777777">
            <w:pPr>
              <w:spacing w:line="240" w:lineRule="exact"/>
              <w:rPr>
                <w:rFonts w:ascii="Arial" w:hAnsi="Arial" w:cs="Arial"/>
              </w:rPr>
            </w:pPr>
          </w:p>
        </w:tc>
        <w:tc>
          <w:tcPr>
            <w:tcW w:w="6946" w:type="dxa"/>
          </w:tcPr>
          <w:p w:rsidR="00D061E9" w:rsidP="00A72FAF" w:rsidRDefault="00D061E9" w14:paraId="0F0488CE" w14:textId="77777777">
            <w:pPr>
              <w:rPr>
                <w:rFonts w:ascii="Arial" w:hAnsi="Arial" w:cs="Arial"/>
                <w:bCs/>
              </w:rPr>
            </w:pPr>
            <w:r>
              <w:rPr>
                <w:rFonts w:ascii="Arial" w:hAnsi="Arial" w:cs="Arial"/>
                <w:bCs/>
              </w:rPr>
              <w:t>The OPCC should map out partnership activity into a central record.</w:t>
            </w:r>
          </w:p>
          <w:p w:rsidR="00D061E9" w:rsidP="00A72FAF" w:rsidRDefault="00D061E9" w14:paraId="0B1FB14B" w14:textId="77777777">
            <w:pPr>
              <w:rPr>
                <w:rFonts w:ascii="Arial" w:hAnsi="Arial" w:cs="Arial"/>
                <w:bCs/>
              </w:rPr>
            </w:pPr>
          </w:p>
          <w:p w:rsidR="00D061E9" w:rsidP="00A72FAF" w:rsidRDefault="00D061E9" w14:paraId="4EE806EF" w14:textId="77777777">
            <w:pPr>
              <w:rPr>
                <w:rFonts w:ascii="Arial" w:hAnsi="Arial" w:cs="Arial"/>
                <w:bCs/>
              </w:rPr>
            </w:pPr>
            <w:r>
              <w:rPr>
                <w:rFonts w:ascii="Arial" w:hAnsi="Arial" w:cs="Arial"/>
                <w:bCs/>
              </w:rPr>
              <w:t>The central record should include key information including but not limited to:</w:t>
            </w:r>
          </w:p>
          <w:p w:rsidR="00D061E9" w:rsidP="00A72FAF" w:rsidRDefault="00D061E9" w14:paraId="71628FA4" w14:textId="77777777">
            <w:pPr>
              <w:rPr>
                <w:rFonts w:ascii="Arial" w:hAnsi="Arial" w:cs="Arial"/>
                <w:bCs/>
              </w:rPr>
            </w:pPr>
          </w:p>
          <w:p w:rsidR="00D061E9" w:rsidP="00A72FAF" w:rsidRDefault="00D061E9" w14:paraId="2F7CDE5B" w14:textId="77777777">
            <w:pPr>
              <w:rPr>
                <w:rFonts w:ascii="Arial" w:hAnsi="Arial" w:cs="Arial"/>
                <w:bCs/>
              </w:rPr>
            </w:pPr>
            <w:r>
              <w:rPr>
                <w:rFonts w:ascii="Arial" w:hAnsi="Arial" w:cs="Arial"/>
                <w:bCs/>
              </w:rPr>
              <w:t>Legal status</w:t>
            </w:r>
          </w:p>
          <w:p w:rsidR="00D061E9" w:rsidP="00A72FAF" w:rsidRDefault="00D061E9" w14:paraId="02CEED80" w14:textId="77777777">
            <w:pPr>
              <w:rPr>
                <w:rFonts w:ascii="Arial" w:hAnsi="Arial" w:cs="Arial"/>
                <w:bCs/>
              </w:rPr>
            </w:pPr>
            <w:r>
              <w:rPr>
                <w:rFonts w:ascii="Arial" w:hAnsi="Arial" w:cs="Arial"/>
                <w:bCs/>
              </w:rPr>
              <w:t>Staff liaison</w:t>
            </w:r>
          </w:p>
          <w:p w:rsidR="00D061E9" w:rsidP="00A72FAF" w:rsidRDefault="00D061E9" w14:paraId="52146C7B" w14:textId="77777777">
            <w:pPr>
              <w:rPr>
                <w:rFonts w:ascii="Arial" w:hAnsi="Arial" w:cs="Arial"/>
                <w:bCs/>
              </w:rPr>
            </w:pPr>
            <w:r>
              <w:rPr>
                <w:rFonts w:ascii="Arial" w:hAnsi="Arial" w:cs="Arial"/>
                <w:bCs/>
              </w:rPr>
              <w:t>Lead/Chair</w:t>
            </w:r>
          </w:p>
          <w:p w:rsidR="00D061E9" w:rsidP="00A72FAF" w:rsidRDefault="00D061E9" w14:paraId="45119497" w14:textId="77777777">
            <w:pPr>
              <w:rPr>
                <w:rFonts w:ascii="Arial" w:hAnsi="Arial" w:cs="Arial"/>
                <w:bCs/>
              </w:rPr>
            </w:pPr>
            <w:r>
              <w:rPr>
                <w:rFonts w:ascii="Arial" w:hAnsi="Arial" w:cs="Arial"/>
                <w:bCs/>
              </w:rPr>
              <w:t>Membership</w:t>
            </w:r>
          </w:p>
          <w:p w:rsidR="00D061E9" w:rsidP="00A72FAF" w:rsidRDefault="00D061E9" w14:paraId="7E4AAE12" w14:textId="77777777">
            <w:pPr>
              <w:rPr>
                <w:rFonts w:ascii="Arial" w:hAnsi="Arial" w:cs="Arial"/>
                <w:bCs/>
              </w:rPr>
            </w:pPr>
            <w:r>
              <w:rPr>
                <w:rFonts w:ascii="Arial" w:hAnsi="Arial" w:cs="Arial"/>
                <w:bCs/>
              </w:rPr>
              <w:t>Start/End date</w:t>
            </w:r>
          </w:p>
          <w:p w:rsidR="00D061E9" w:rsidP="00A72FAF" w:rsidRDefault="00D061E9" w14:paraId="32CB3EE6" w14:textId="77777777">
            <w:pPr>
              <w:rPr>
                <w:rFonts w:ascii="Arial" w:hAnsi="Arial" w:cs="Arial"/>
                <w:bCs/>
              </w:rPr>
            </w:pPr>
            <w:r>
              <w:rPr>
                <w:rFonts w:ascii="Arial" w:hAnsi="Arial" w:cs="Arial"/>
                <w:bCs/>
              </w:rPr>
              <w:t>Funding</w:t>
            </w:r>
          </w:p>
          <w:p w:rsidR="00D061E9" w:rsidP="00A72FAF" w:rsidRDefault="00D061E9" w14:paraId="4A209031" w14:textId="7C826E37">
            <w:pPr>
              <w:rPr>
                <w:rFonts w:ascii="Arial" w:hAnsi="Arial" w:cs="Arial"/>
                <w:bCs/>
              </w:rPr>
            </w:pPr>
          </w:p>
        </w:tc>
        <w:tc>
          <w:tcPr>
            <w:tcW w:w="1419" w:type="dxa"/>
          </w:tcPr>
          <w:p w:rsidRPr="002A2904" w:rsidR="00D061E9" w:rsidP="00A72FAF" w:rsidRDefault="00D061E9" w14:paraId="5E48877C" w14:textId="3A38CE67">
            <w:pPr>
              <w:jc w:val="center"/>
              <w:rPr>
                <w:rFonts w:ascii="Arial" w:hAnsi="Arial" w:cs="Arial"/>
              </w:rPr>
            </w:pPr>
            <w:r>
              <w:rPr>
                <w:rFonts w:ascii="Arial" w:hAnsi="Arial" w:cs="Arial"/>
              </w:rPr>
              <w:t>3</w:t>
            </w:r>
          </w:p>
        </w:tc>
        <w:tc>
          <w:tcPr>
            <w:tcW w:w="1700" w:type="dxa"/>
          </w:tcPr>
          <w:p w:rsidRPr="002A2904" w:rsidR="00D061E9" w:rsidP="00A72FAF" w:rsidRDefault="00D061E9" w14:paraId="1F82782A" w14:textId="30531EE2">
            <w:pPr>
              <w:jc w:val="center"/>
              <w:rPr>
                <w:rFonts w:ascii="Arial" w:hAnsi="Arial" w:cs="Arial"/>
              </w:rPr>
            </w:pPr>
            <w:r>
              <w:rPr>
                <w:rFonts w:ascii="Arial" w:hAnsi="Arial" w:cs="Arial"/>
              </w:rPr>
              <w:t>0</w:t>
            </w:r>
          </w:p>
        </w:tc>
      </w:tr>
      <w:tr w:rsidRPr="002A2904" w:rsidR="00C05953" w:rsidTr="00A72FAF" w14:paraId="7D8DD9AF" w14:textId="77777777">
        <w:tc>
          <w:tcPr>
            <w:tcW w:w="1838" w:type="dxa"/>
          </w:tcPr>
          <w:p w:rsidRPr="002A2904" w:rsidR="00C05953" w:rsidP="00A72FAF" w:rsidRDefault="003E4D45" w14:paraId="1E96D722" w14:textId="7EB79EA1">
            <w:pPr>
              <w:rPr>
                <w:rFonts w:ascii="Arial" w:hAnsi="Arial" w:cs="Arial"/>
              </w:rPr>
            </w:pPr>
            <w:r>
              <w:rPr>
                <w:rFonts w:ascii="Arial" w:hAnsi="Arial" w:cs="Arial"/>
              </w:rPr>
              <w:t>TBA</w:t>
            </w:r>
          </w:p>
        </w:tc>
        <w:tc>
          <w:tcPr>
            <w:tcW w:w="2126" w:type="dxa"/>
          </w:tcPr>
          <w:p w:rsidRPr="002A2904" w:rsidR="00C05953" w:rsidP="00A72FAF" w:rsidRDefault="00C05953" w14:paraId="1BC7F148" w14:textId="77777777">
            <w:pPr>
              <w:spacing w:line="240" w:lineRule="exact"/>
              <w:rPr>
                <w:rFonts w:ascii="Arial" w:hAnsi="Arial" w:cs="Arial"/>
              </w:rPr>
            </w:pPr>
          </w:p>
        </w:tc>
        <w:tc>
          <w:tcPr>
            <w:tcW w:w="6946" w:type="dxa"/>
          </w:tcPr>
          <w:p w:rsidR="00C05953" w:rsidP="00A72FAF" w:rsidRDefault="00C05953" w14:paraId="7786E4E0" w14:textId="77777777">
            <w:pPr>
              <w:rPr>
                <w:rFonts w:ascii="Arial" w:hAnsi="Arial" w:cs="Arial"/>
                <w:bCs/>
              </w:rPr>
            </w:pPr>
            <w:r>
              <w:rPr>
                <w:rFonts w:ascii="Arial" w:hAnsi="Arial" w:cs="Arial"/>
                <w:bCs/>
              </w:rPr>
              <w:t xml:space="preserve">The OPCC should ensure that controls including the use of risk assessments and that controls outlined in the Financial Regulations are </w:t>
            </w:r>
            <w:r w:rsidR="00BD21B8">
              <w:rPr>
                <w:rFonts w:ascii="Arial" w:hAnsi="Arial" w:cs="Arial"/>
                <w:bCs/>
              </w:rPr>
              <w:t xml:space="preserve">followed </w:t>
            </w:r>
            <w:proofErr w:type="gramStart"/>
            <w:r w:rsidR="00BD21B8">
              <w:rPr>
                <w:rFonts w:ascii="Arial" w:hAnsi="Arial" w:cs="Arial"/>
                <w:bCs/>
              </w:rPr>
              <w:t>in regard to</w:t>
            </w:r>
            <w:proofErr w:type="gramEnd"/>
            <w:r w:rsidR="00BD21B8">
              <w:rPr>
                <w:rFonts w:ascii="Arial" w:hAnsi="Arial" w:cs="Arial"/>
                <w:bCs/>
              </w:rPr>
              <w:t xml:space="preserve"> partnerships.</w:t>
            </w:r>
          </w:p>
          <w:p w:rsidR="00BD21B8" w:rsidP="00A72FAF" w:rsidRDefault="00BD21B8" w14:paraId="608022A5" w14:textId="3D7CCB0F">
            <w:pPr>
              <w:rPr>
                <w:rFonts w:ascii="Arial" w:hAnsi="Arial" w:cs="Arial"/>
                <w:bCs/>
              </w:rPr>
            </w:pPr>
          </w:p>
        </w:tc>
        <w:tc>
          <w:tcPr>
            <w:tcW w:w="1419" w:type="dxa"/>
          </w:tcPr>
          <w:p w:rsidRPr="002A2904" w:rsidR="00C05953" w:rsidP="00A72FAF" w:rsidRDefault="00C05953" w14:paraId="2EBE0113" w14:textId="77777777">
            <w:pPr>
              <w:jc w:val="center"/>
              <w:rPr>
                <w:rFonts w:ascii="Arial" w:hAnsi="Arial" w:cs="Arial"/>
              </w:rPr>
            </w:pPr>
          </w:p>
        </w:tc>
        <w:tc>
          <w:tcPr>
            <w:tcW w:w="1700" w:type="dxa"/>
          </w:tcPr>
          <w:p w:rsidRPr="002A2904" w:rsidR="00C05953" w:rsidP="00A72FAF" w:rsidRDefault="00C05953" w14:paraId="4A3C1210" w14:textId="77777777">
            <w:pPr>
              <w:jc w:val="center"/>
              <w:rPr>
                <w:rFonts w:ascii="Arial" w:hAnsi="Arial" w:cs="Arial"/>
              </w:rPr>
            </w:pPr>
          </w:p>
        </w:tc>
      </w:tr>
      <w:tr w:rsidRPr="002A2904" w:rsidR="00BD21B8" w:rsidTr="00A72FAF" w14:paraId="5A5AE0C6" w14:textId="77777777">
        <w:tc>
          <w:tcPr>
            <w:tcW w:w="1838" w:type="dxa"/>
          </w:tcPr>
          <w:p w:rsidRPr="002A2904" w:rsidR="00BD21B8" w:rsidP="00A72FAF" w:rsidRDefault="003E4D45" w14:paraId="0BBF8854" w14:textId="176FDC61">
            <w:pPr>
              <w:rPr>
                <w:rFonts w:ascii="Arial" w:hAnsi="Arial" w:cs="Arial"/>
              </w:rPr>
            </w:pPr>
            <w:r>
              <w:rPr>
                <w:rFonts w:ascii="Arial" w:hAnsi="Arial" w:cs="Arial"/>
              </w:rPr>
              <w:t>TBA</w:t>
            </w:r>
          </w:p>
        </w:tc>
        <w:tc>
          <w:tcPr>
            <w:tcW w:w="2126" w:type="dxa"/>
          </w:tcPr>
          <w:p w:rsidRPr="002A2904" w:rsidR="00BD21B8" w:rsidP="00A72FAF" w:rsidRDefault="00BD21B8" w14:paraId="4DDDA793" w14:textId="77777777">
            <w:pPr>
              <w:spacing w:line="240" w:lineRule="exact"/>
              <w:rPr>
                <w:rFonts w:ascii="Arial" w:hAnsi="Arial" w:cs="Arial"/>
              </w:rPr>
            </w:pPr>
          </w:p>
        </w:tc>
        <w:tc>
          <w:tcPr>
            <w:tcW w:w="6946" w:type="dxa"/>
          </w:tcPr>
          <w:p w:rsidR="00BD21B8" w:rsidP="00A72FAF" w:rsidRDefault="00BD21B8" w14:paraId="7EFD688D" w14:textId="77777777">
            <w:pPr>
              <w:rPr>
                <w:rFonts w:ascii="Arial" w:hAnsi="Arial" w:cs="Arial"/>
                <w:bCs/>
              </w:rPr>
            </w:pPr>
            <w:r>
              <w:rPr>
                <w:rFonts w:ascii="Arial" w:hAnsi="Arial" w:cs="Arial"/>
                <w:bCs/>
              </w:rPr>
              <w:t>The OPCC should implement a formal review of partnerships to ensure that they remain fit for purpose.</w:t>
            </w:r>
          </w:p>
          <w:p w:rsidR="00BD21B8" w:rsidP="00A72FAF" w:rsidRDefault="00BD21B8" w14:paraId="4B72A0EC" w14:textId="0CF06FCB">
            <w:pPr>
              <w:rPr>
                <w:rFonts w:ascii="Arial" w:hAnsi="Arial" w:cs="Arial"/>
                <w:bCs/>
              </w:rPr>
            </w:pPr>
          </w:p>
        </w:tc>
        <w:tc>
          <w:tcPr>
            <w:tcW w:w="1419" w:type="dxa"/>
          </w:tcPr>
          <w:p w:rsidRPr="002A2904" w:rsidR="00BD21B8" w:rsidP="00A72FAF" w:rsidRDefault="00BD21B8" w14:paraId="07945481" w14:textId="77777777">
            <w:pPr>
              <w:jc w:val="center"/>
              <w:rPr>
                <w:rFonts w:ascii="Arial" w:hAnsi="Arial" w:cs="Arial"/>
              </w:rPr>
            </w:pPr>
          </w:p>
        </w:tc>
        <w:tc>
          <w:tcPr>
            <w:tcW w:w="1700" w:type="dxa"/>
          </w:tcPr>
          <w:p w:rsidRPr="002A2904" w:rsidR="00BD21B8" w:rsidP="00A72FAF" w:rsidRDefault="00BD21B8" w14:paraId="607A9960" w14:textId="77777777">
            <w:pPr>
              <w:jc w:val="center"/>
              <w:rPr>
                <w:rFonts w:ascii="Arial" w:hAnsi="Arial" w:cs="Arial"/>
              </w:rPr>
            </w:pPr>
          </w:p>
        </w:tc>
      </w:tr>
    </w:tbl>
    <w:p w:rsidRPr="007A5AF6" w:rsidR="00543607" w:rsidP="00350FBA" w:rsidRDefault="00543607" w14:paraId="07194932" w14:textId="77777777">
      <w:pPr>
        <w:rPr>
          <w:rFonts w:ascii="Arial" w:hAnsi="Arial" w:cs="Arial"/>
          <w:b/>
        </w:rPr>
      </w:pPr>
    </w:p>
    <w:sectPr w:rsidRPr="007A5AF6" w:rsidR="00543607" w:rsidSect="00543607">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F796" w14:textId="77777777" w:rsidR="005A4666" w:rsidRDefault="005A4666" w:rsidP="005A4666">
      <w:pPr>
        <w:spacing w:after="0" w:line="240" w:lineRule="auto"/>
      </w:pPr>
      <w:r>
        <w:separator/>
      </w:r>
    </w:p>
  </w:endnote>
  <w:endnote w:type="continuationSeparator" w:id="0">
    <w:p w14:paraId="42E471E2" w14:textId="77777777" w:rsidR="005A4666" w:rsidRDefault="005A4666" w:rsidP="005A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67381"/>
      <w:docPartObj>
        <w:docPartGallery w:val="Page Numbers (Bottom of Page)"/>
        <w:docPartUnique/>
      </w:docPartObj>
    </w:sdtPr>
    <w:sdtEndPr>
      <w:rPr>
        <w:noProof/>
      </w:rPr>
    </w:sdtEndPr>
    <w:sdtContent>
      <w:p w14:paraId="02EBD081" w14:textId="47B9874B" w:rsidR="00FE323D" w:rsidRDefault="00FE323D">
        <w:pPr>
          <w:pStyle w:val="Footer"/>
          <w:jc w:val="center"/>
        </w:pPr>
        <w:r>
          <w:fldChar w:fldCharType="begin"/>
        </w:r>
        <w:r>
          <w:instrText xml:space="preserve"> PAGE   \* MERGEFORMAT </w:instrText>
        </w:r>
        <w:r>
          <w:fldChar w:fldCharType="separate"/>
        </w:r>
        <w:r w:rsidR="00E23655">
          <w:rPr>
            <w:noProof/>
          </w:rPr>
          <w:t>5</w:t>
        </w:r>
        <w:r>
          <w:rPr>
            <w:noProof/>
          </w:rPr>
          <w:fldChar w:fldCharType="end"/>
        </w:r>
      </w:p>
    </w:sdtContent>
  </w:sdt>
  <w:p w14:paraId="540D3021" w14:textId="77777777" w:rsidR="00FE323D" w:rsidRDefault="00FE3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3DC6" w14:textId="77777777" w:rsidR="005A4666" w:rsidRDefault="005A4666" w:rsidP="005A4666">
      <w:pPr>
        <w:spacing w:after="0" w:line="240" w:lineRule="auto"/>
      </w:pPr>
      <w:r>
        <w:separator/>
      </w:r>
    </w:p>
  </w:footnote>
  <w:footnote w:type="continuationSeparator" w:id="0">
    <w:p w14:paraId="558EE68E" w14:textId="77777777" w:rsidR="005A4666" w:rsidRDefault="005A4666" w:rsidP="005A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2C97" w14:textId="42DC1631" w:rsidR="00422EF1" w:rsidRPr="00A55B33" w:rsidRDefault="00BC27AB">
    <w:pPr>
      <w:pStyle w:val="Header"/>
      <w:rPr>
        <w:rFonts w:ascii="Arial" w:hAnsi="Arial" w:cs="Arial"/>
      </w:rPr>
    </w:pPr>
    <w:r w:rsidRPr="00A55B33">
      <w:rPr>
        <w:rFonts w:ascii="Arial" w:hAnsi="Arial" w:cs="Arial"/>
      </w:rPr>
      <w:t xml:space="preserve">A&amp;I Update Report - </w:t>
    </w:r>
    <w:r w:rsidR="00422EF1" w:rsidRPr="00A55B33">
      <w:rPr>
        <w:rFonts w:ascii="Arial" w:hAnsi="Arial" w:cs="Arial"/>
      </w:rPr>
      <w:t>Appendix B</w:t>
    </w:r>
  </w:p>
  <w:p w14:paraId="104C36E9" w14:textId="4AF443AE" w:rsidR="00BC27AB" w:rsidRPr="00A55B33" w:rsidRDefault="00350FBA">
    <w:pPr>
      <w:pStyle w:val="Header"/>
      <w:rPr>
        <w:rFonts w:ascii="Arial" w:hAnsi="Arial" w:cs="Arial"/>
      </w:rPr>
    </w:pPr>
    <w:r>
      <w:rPr>
        <w:rFonts w:ascii="Arial" w:hAnsi="Arial" w:cs="Arial"/>
      </w:rPr>
      <w:t>July</w:t>
    </w:r>
    <w:r w:rsidR="00BC27AB" w:rsidRPr="00A55B33">
      <w:rPr>
        <w:rFonts w:ascii="Arial" w:hAnsi="Arial" w:cs="Arial"/>
      </w:rPr>
      <w:t xml:space="preserve"> 2022</w:t>
    </w:r>
  </w:p>
  <w:p w14:paraId="4E5C7812" w14:textId="77777777" w:rsidR="00B87ACD" w:rsidRDefault="00B87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A19"/>
    <w:multiLevelType w:val="hybridMultilevel"/>
    <w:tmpl w:val="0F3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72485"/>
    <w:multiLevelType w:val="hybridMultilevel"/>
    <w:tmpl w:val="52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D5301"/>
    <w:multiLevelType w:val="hybridMultilevel"/>
    <w:tmpl w:val="3DB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41CDF"/>
    <w:multiLevelType w:val="hybridMultilevel"/>
    <w:tmpl w:val="B29237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0BE3544"/>
    <w:multiLevelType w:val="hybridMultilevel"/>
    <w:tmpl w:val="53E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C6A4C"/>
    <w:multiLevelType w:val="hybridMultilevel"/>
    <w:tmpl w:val="8A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206CA"/>
    <w:multiLevelType w:val="hybridMultilevel"/>
    <w:tmpl w:val="5548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07"/>
    <w:rsid w:val="00001492"/>
    <w:rsid w:val="000040BD"/>
    <w:rsid w:val="00037935"/>
    <w:rsid w:val="000571E1"/>
    <w:rsid w:val="000656F2"/>
    <w:rsid w:val="00084652"/>
    <w:rsid w:val="00096878"/>
    <w:rsid w:val="000A098B"/>
    <w:rsid w:val="000A1FAE"/>
    <w:rsid w:val="000C06C7"/>
    <w:rsid w:val="000E0645"/>
    <w:rsid w:val="00107624"/>
    <w:rsid w:val="001258A8"/>
    <w:rsid w:val="001474DE"/>
    <w:rsid w:val="001F1142"/>
    <w:rsid w:val="002A2904"/>
    <w:rsid w:val="002D3304"/>
    <w:rsid w:val="003220E2"/>
    <w:rsid w:val="00342CB7"/>
    <w:rsid w:val="00350FBA"/>
    <w:rsid w:val="003A3C30"/>
    <w:rsid w:val="003C7DC3"/>
    <w:rsid w:val="003E4D45"/>
    <w:rsid w:val="00401DBF"/>
    <w:rsid w:val="00422EF1"/>
    <w:rsid w:val="00474657"/>
    <w:rsid w:val="00480F65"/>
    <w:rsid w:val="004E6A53"/>
    <w:rsid w:val="00530043"/>
    <w:rsid w:val="00543607"/>
    <w:rsid w:val="005A4666"/>
    <w:rsid w:val="005A55F9"/>
    <w:rsid w:val="00607B58"/>
    <w:rsid w:val="00663AE8"/>
    <w:rsid w:val="00685761"/>
    <w:rsid w:val="006868E2"/>
    <w:rsid w:val="006E72D0"/>
    <w:rsid w:val="0072661B"/>
    <w:rsid w:val="00732DBD"/>
    <w:rsid w:val="007A5AF6"/>
    <w:rsid w:val="007A66CB"/>
    <w:rsid w:val="007E071C"/>
    <w:rsid w:val="007E6885"/>
    <w:rsid w:val="008316F6"/>
    <w:rsid w:val="0084487E"/>
    <w:rsid w:val="00866E46"/>
    <w:rsid w:val="008C00BE"/>
    <w:rsid w:val="008D66BD"/>
    <w:rsid w:val="008E56A4"/>
    <w:rsid w:val="008F7684"/>
    <w:rsid w:val="00900CB1"/>
    <w:rsid w:val="009030F1"/>
    <w:rsid w:val="00951CFF"/>
    <w:rsid w:val="00995A5A"/>
    <w:rsid w:val="009A7AD4"/>
    <w:rsid w:val="009C7706"/>
    <w:rsid w:val="009D3786"/>
    <w:rsid w:val="009E0630"/>
    <w:rsid w:val="00A246AB"/>
    <w:rsid w:val="00A24DCA"/>
    <w:rsid w:val="00A515CB"/>
    <w:rsid w:val="00A55B33"/>
    <w:rsid w:val="00A61C63"/>
    <w:rsid w:val="00A85F5A"/>
    <w:rsid w:val="00AC3173"/>
    <w:rsid w:val="00AD3DF9"/>
    <w:rsid w:val="00AE2AE7"/>
    <w:rsid w:val="00B570EE"/>
    <w:rsid w:val="00B87ACD"/>
    <w:rsid w:val="00B957EE"/>
    <w:rsid w:val="00BC27AB"/>
    <w:rsid w:val="00BD21B8"/>
    <w:rsid w:val="00BD75C5"/>
    <w:rsid w:val="00C03BFD"/>
    <w:rsid w:val="00C05953"/>
    <w:rsid w:val="00C25796"/>
    <w:rsid w:val="00C3360C"/>
    <w:rsid w:val="00C36A4B"/>
    <w:rsid w:val="00C7717E"/>
    <w:rsid w:val="00C875F4"/>
    <w:rsid w:val="00CF0E33"/>
    <w:rsid w:val="00D061E9"/>
    <w:rsid w:val="00D15DBB"/>
    <w:rsid w:val="00D179E8"/>
    <w:rsid w:val="00D92D39"/>
    <w:rsid w:val="00DA3FD2"/>
    <w:rsid w:val="00E23655"/>
    <w:rsid w:val="00E34132"/>
    <w:rsid w:val="00E34D4C"/>
    <w:rsid w:val="00E62994"/>
    <w:rsid w:val="00E65A33"/>
    <w:rsid w:val="00EA0628"/>
    <w:rsid w:val="00EA7771"/>
    <w:rsid w:val="00EE5968"/>
    <w:rsid w:val="00F42C49"/>
    <w:rsid w:val="00FD3080"/>
    <w:rsid w:val="00FE3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B839F9"/>
  <w15:chartTrackingRefBased/>
  <w15:docId w15:val="{57972391-5C8D-477C-A3F5-DBC0D0B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5F5A"/>
    <w:pPr>
      <w:ind w:left="720"/>
      <w:contextualSpacing/>
    </w:pPr>
  </w:style>
  <w:style w:type="character" w:customStyle="1" w:styleId="ListParagraphChar">
    <w:name w:val="List Paragraph Char"/>
    <w:basedOn w:val="DefaultParagraphFont"/>
    <w:link w:val="ListParagraph"/>
    <w:uiPriority w:val="34"/>
    <w:locked/>
    <w:rsid w:val="00A85F5A"/>
  </w:style>
  <w:style w:type="paragraph" w:styleId="Subtitle">
    <w:name w:val="Subtitle"/>
    <w:basedOn w:val="Normal"/>
    <w:next w:val="Normal"/>
    <w:link w:val="SubtitleChar"/>
    <w:uiPriority w:val="11"/>
    <w:qFormat/>
    <w:rsid w:val="00A515CB"/>
    <w:pPr>
      <w:numPr>
        <w:ilvl w:val="1"/>
      </w:numPr>
      <w:spacing w:before="120" w:after="120" w:line="480" w:lineRule="exact"/>
    </w:pPr>
    <w:rPr>
      <w:rFonts w:eastAsiaTheme="minorEastAsia"/>
      <w:b/>
      <w:color w:val="000000" w:themeColor="text1"/>
      <w:sz w:val="48"/>
    </w:rPr>
  </w:style>
  <w:style w:type="character" w:customStyle="1" w:styleId="SubtitleChar">
    <w:name w:val="Subtitle Char"/>
    <w:basedOn w:val="DefaultParagraphFont"/>
    <w:link w:val="Subtitle"/>
    <w:uiPriority w:val="11"/>
    <w:rsid w:val="00A515CB"/>
    <w:rPr>
      <w:rFonts w:eastAsiaTheme="minorEastAsia"/>
      <w:b/>
      <w:color w:val="000000" w:themeColor="text1"/>
      <w:sz w:val="48"/>
    </w:rPr>
  </w:style>
  <w:style w:type="paragraph" w:styleId="Header">
    <w:name w:val="header"/>
    <w:basedOn w:val="Normal"/>
    <w:link w:val="HeaderChar"/>
    <w:uiPriority w:val="99"/>
    <w:unhideWhenUsed/>
    <w:rsid w:val="00FE3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23D"/>
  </w:style>
  <w:style w:type="paragraph" w:styleId="Footer">
    <w:name w:val="footer"/>
    <w:basedOn w:val="Normal"/>
    <w:link w:val="FooterChar"/>
    <w:uiPriority w:val="99"/>
    <w:unhideWhenUsed/>
    <w:rsid w:val="00FE3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3795">
      <w:bodyDiv w:val="1"/>
      <w:marLeft w:val="0"/>
      <w:marRight w:val="0"/>
      <w:marTop w:val="0"/>
      <w:marBottom w:val="0"/>
      <w:divBdr>
        <w:top w:val="none" w:sz="0" w:space="0" w:color="auto"/>
        <w:left w:val="none" w:sz="0" w:space="0" w:color="auto"/>
        <w:bottom w:val="none" w:sz="0" w:space="0" w:color="auto"/>
        <w:right w:val="none" w:sz="0" w:space="0" w:color="auto"/>
      </w:divBdr>
    </w:div>
    <w:div w:id="358774630">
      <w:bodyDiv w:val="1"/>
      <w:marLeft w:val="0"/>
      <w:marRight w:val="0"/>
      <w:marTop w:val="0"/>
      <w:marBottom w:val="0"/>
      <w:divBdr>
        <w:top w:val="none" w:sz="0" w:space="0" w:color="auto"/>
        <w:left w:val="none" w:sz="0" w:space="0" w:color="auto"/>
        <w:bottom w:val="none" w:sz="0" w:space="0" w:color="auto"/>
        <w:right w:val="none" w:sz="0" w:space="0" w:color="auto"/>
      </w:divBdr>
    </w:div>
    <w:div w:id="717440795">
      <w:bodyDiv w:val="1"/>
      <w:marLeft w:val="0"/>
      <w:marRight w:val="0"/>
      <w:marTop w:val="0"/>
      <w:marBottom w:val="0"/>
      <w:divBdr>
        <w:top w:val="none" w:sz="0" w:space="0" w:color="auto"/>
        <w:left w:val="none" w:sz="0" w:space="0" w:color="auto"/>
        <w:bottom w:val="none" w:sz="0" w:space="0" w:color="auto"/>
        <w:right w:val="none" w:sz="0" w:space="0" w:color="auto"/>
      </w:divBdr>
    </w:div>
    <w:div w:id="1040936033">
      <w:bodyDiv w:val="1"/>
      <w:marLeft w:val="0"/>
      <w:marRight w:val="0"/>
      <w:marTop w:val="0"/>
      <w:marBottom w:val="0"/>
      <w:divBdr>
        <w:top w:val="none" w:sz="0" w:space="0" w:color="auto"/>
        <w:left w:val="none" w:sz="0" w:space="0" w:color="auto"/>
        <w:bottom w:val="none" w:sz="0" w:space="0" w:color="auto"/>
        <w:right w:val="none" w:sz="0" w:space="0" w:color="auto"/>
      </w:divBdr>
    </w:div>
    <w:div w:id="1399094429">
      <w:bodyDiv w:val="1"/>
      <w:marLeft w:val="0"/>
      <w:marRight w:val="0"/>
      <w:marTop w:val="0"/>
      <w:marBottom w:val="0"/>
      <w:divBdr>
        <w:top w:val="none" w:sz="0" w:space="0" w:color="auto"/>
        <w:left w:val="none" w:sz="0" w:space="0" w:color="auto"/>
        <w:bottom w:val="none" w:sz="0" w:space="0" w:color="auto"/>
        <w:right w:val="none" w:sz="0" w:space="0" w:color="auto"/>
      </w:divBdr>
    </w:div>
    <w:div w:id="1442607018">
      <w:bodyDiv w:val="1"/>
      <w:marLeft w:val="0"/>
      <w:marRight w:val="0"/>
      <w:marTop w:val="0"/>
      <w:marBottom w:val="0"/>
      <w:divBdr>
        <w:top w:val="none" w:sz="0" w:space="0" w:color="auto"/>
        <w:left w:val="none" w:sz="0" w:space="0" w:color="auto"/>
        <w:bottom w:val="none" w:sz="0" w:space="0" w:color="auto"/>
        <w:right w:val="none" w:sz="0" w:space="0" w:color="auto"/>
      </w:divBdr>
    </w:div>
    <w:div w:id="1449200752">
      <w:bodyDiv w:val="1"/>
      <w:marLeft w:val="0"/>
      <w:marRight w:val="0"/>
      <w:marTop w:val="0"/>
      <w:marBottom w:val="0"/>
      <w:divBdr>
        <w:top w:val="none" w:sz="0" w:space="0" w:color="auto"/>
        <w:left w:val="none" w:sz="0" w:space="0" w:color="auto"/>
        <w:bottom w:val="none" w:sz="0" w:space="0" w:color="auto"/>
        <w:right w:val="none" w:sz="0" w:space="0" w:color="auto"/>
      </w:divBdr>
    </w:div>
    <w:div w:id="16349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8.2 Appendix B - Internal Audits</dc:title>
  <dc:subject>
  </dc:subject>
  <dc:creator>Cawley, Carol</dc:creator>
  <cp:keywords>
  </cp:keywords>
  <dc:description>
  </dc:description>
  <cp:lastModifiedBy>Deleted User</cp:lastModifiedBy>
  <cp:revision>21</cp:revision>
  <dcterms:created xsi:type="dcterms:W3CDTF">2022-02-01T10:58:00Z</dcterms:created>
  <dcterms:modified xsi:type="dcterms:W3CDTF">2022-08-05T12:55:43Z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2022-02-01T10:57:49Z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49dc91c8-92d7-4dc3-ace4-21aa8307d47d</vt:lpwstr>
  </property>
  <property fmtid="{D5CDD505-2E9C-101B-9397-08002B2CF9AE}" pid="8" name="MSIP_Label_0c9a534a-49dd-43c4-b4e5-f206b4dbf0e4_ContentBits">
    <vt:lpwstr>0</vt:lpwstr>
  </property>
</Properties>
</file>