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12" w:type="dxa"/>
        <w:tblInd w:w="-504" w:type="dxa"/>
        <w:tblLayout w:type="fixed"/>
        <w:tblLook w:val="0000" w:firstRow="0" w:lastRow="0" w:firstColumn="0" w:lastColumn="0" w:noHBand="0" w:noVBand="0"/>
      </w:tblPr>
      <w:tblGrid>
        <w:gridCol w:w="5472"/>
        <w:gridCol w:w="4140"/>
      </w:tblGrid>
      <w:tr w:rsidRPr="000F2D21" w:rsidR="000F2D21" w:rsidTr="00CB7C46" w14:paraId="6AF2605C" w14:textId="77777777">
        <w:tc>
          <w:tcPr>
            <w:tcW w:w="5472" w:type="dxa"/>
          </w:tcPr>
          <w:p w:rsidRPr="000F2D21" w:rsidR="000F2D21" w:rsidP="000F2D21" w:rsidRDefault="000F2D21" w14:paraId="265BEC18" w14:textId="77777777">
            <w:pPr>
              <w:jc w:val="both"/>
              <w:rPr>
                <w:rFonts w:eastAsia="Arial"/>
                <w:b/>
                <w:spacing w:val="0"/>
                <w:szCs w:val="24"/>
                <w:lang w:eastAsia="en-GB"/>
              </w:rPr>
            </w:pPr>
            <w:bookmarkStart w:name="_Hlk140042441" w:id="0"/>
            <w:bookmarkStart w:name="_Hlk150932369" w:id="1"/>
            <w:bookmarkEnd w:id="0"/>
            <w:r w:rsidRPr="000F2D21">
              <w:rPr>
                <w:rFonts w:eastAsia="Arial"/>
                <w:b/>
                <w:spacing w:val="0"/>
                <w:szCs w:val="24"/>
                <w:lang w:eastAsia="en-GB"/>
              </w:rPr>
              <w:t>NOT PROTECTIVELY MARKED – for public release</w:t>
            </w:r>
          </w:p>
        </w:tc>
        <w:tc>
          <w:tcPr>
            <w:tcW w:w="4140" w:type="dxa"/>
          </w:tcPr>
          <w:p w:rsidRPr="000F2D21" w:rsidR="000F2D21" w:rsidP="000F2D21" w:rsidRDefault="000F2D21" w14:paraId="2F7D09EC" w14:textId="77777777">
            <w:pPr>
              <w:jc w:val="right"/>
              <w:rPr>
                <w:rFonts w:eastAsia="Arial"/>
                <w:b/>
                <w:spacing w:val="0"/>
                <w:szCs w:val="24"/>
                <w:lang w:eastAsia="en-GB"/>
              </w:rPr>
            </w:pPr>
            <w:r w:rsidRPr="000F2D21">
              <w:rPr>
                <w:rFonts w:eastAsia="Arial"/>
                <w:b/>
                <w:spacing w:val="0"/>
                <w:szCs w:val="24"/>
                <w:lang w:eastAsia="en-GB"/>
              </w:rPr>
              <w:t>Agenda Item No.</w:t>
            </w:r>
          </w:p>
        </w:tc>
      </w:tr>
    </w:tbl>
    <w:p w:rsidRPr="000F2D21" w:rsidR="000F2D21" w:rsidP="000F2D21" w:rsidRDefault="000F2D21" w14:paraId="6F67A5C3" w14:textId="77777777">
      <w:pPr>
        <w:rPr>
          <w:rFonts w:eastAsia="Arial"/>
          <w:spacing w:val="0"/>
          <w:sz w:val="26"/>
          <w:szCs w:val="26"/>
          <w:lang w:eastAsia="en-GB"/>
        </w:rPr>
      </w:pPr>
      <w:r w:rsidRPr="000F2D21">
        <w:rPr>
          <w:rFonts w:eastAsia="Arial"/>
          <w:noProof/>
          <w:spacing w:val="0"/>
          <w:sz w:val="26"/>
          <w:szCs w:val="26"/>
          <w:lang w:eastAsia="en-GB"/>
        </w:rPr>
        <mc:AlternateContent>
          <mc:Choice Requires="wps">
            <w:drawing>
              <wp:anchor distT="0" distB="0" distL="114300" distR="114300" simplePos="0" relativeHeight="251659264" behindDoc="0" locked="0" layoutInCell="1" allowOverlap="1" wp14:editId="21AF9BA0" wp14:anchorId="455D270B">
                <wp:simplePos x="0" y="0"/>
                <wp:positionH relativeFrom="column">
                  <wp:posOffset>4772660</wp:posOffset>
                </wp:positionH>
                <wp:positionV relativeFrom="paragraph">
                  <wp:posOffset>88265</wp:posOffset>
                </wp:positionV>
                <wp:extent cx="666750" cy="539750"/>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666750" cy="539750"/>
                        </a:xfrm>
                        <a:prstGeom prst="rect">
                          <a:avLst/>
                        </a:prstGeom>
                        <a:solidFill>
                          <a:sysClr val="window" lastClr="FFFFFF"/>
                        </a:solidFill>
                        <a:ln w="6350">
                          <a:solidFill>
                            <a:prstClr val="black"/>
                          </a:solidFill>
                        </a:ln>
                      </wps:spPr>
                      <wps:txbx>
                        <w:txbxContent>
                          <w:p w:rsidRPr="00454450" w:rsidR="000F2D21" w:rsidP="000F2D21" w:rsidRDefault="00C32AB1" w14:paraId="773D2F56" w14:textId="077A9AE4">
                            <w:pPr>
                              <w:rPr>
                                <w:rFonts w:cs="Arial"/>
                                <w:sz w:val="40"/>
                                <w:szCs w:val="40"/>
                              </w:rPr>
                            </w:pPr>
                            <w:r>
                              <w:rPr>
                                <w:rFonts w:cs="Arial"/>
                                <w:sz w:val="40"/>
                                <w:szCs w:val="40"/>
                              </w:rPr>
                              <w:t>1</w:t>
                            </w:r>
                            <w:r w:rsidR="00D44807">
                              <w:rPr>
                                <w:rFonts w:cs="Arial"/>
                                <w:sz w:val="40"/>
                                <w:szCs w:val="4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455D270B">
                <v:stroke joinstyle="miter"/>
                <v:path gradientshapeok="t" o:connecttype="rect"/>
              </v:shapetype>
              <v:shape id="Text Box 2" style="position:absolute;margin-left:375.8pt;margin-top:6.95pt;width:52.5pt;height:42.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">
                <v:textbox>
                  <w:txbxContent>
                    <w:p w:rsidRPr="00454450" w:rsidR="000F2D21" w:rsidP="000F2D21" w:rsidRDefault="00C32AB1" w14:paraId="773D2F56" w14:textId="077A9AE4">
                      <w:pPr>
                        <w:rPr>
                          <w:rFonts w:cs="Arial"/>
                          <w:sz w:val="40"/>
                          <w:szCs w:val="40"/>
                        </w:rPr>
                      </w:pPr>
                      <w:r>
                        <w:rPr>
                          <w:rFonts w:cs="Arial"/>
                          <w:sz w:val="40"/>
                          <w:szCs w:val="40"/>
                        </w:rPr>
                        <w:t>1</w:t>
                      </w:r>
                      <w:r w:rsidR="00D44807">
                        <w:rPr>
                          <w:rFonts w:cs="Arial"/>
                          <w:sz w:val="40"/>
                          <w:szCs w:val="40"/>
                        </w:rPr>
                        <w:t>0</w:t>
                      </w:r>
                    </w:p>
                  </w:txbxContent>
                </v:textbox>
              </v:shape>
            </w:pict>
          </mc:Fallback>
        </mc:AlternateContent>
      </w:r>
    </w:p>
    <w:p w:rsidRPr="000F2D21" w:rsidR="000F2D21" w:rsidP="000F2D21" w:rsidRDefault="000F2D21" w14:paraId="764F277E" w14:textId="77777777">
      <w:pPr>
        <w:rPr>
          <w:rFonts w:eastAsia="Arial"/>
          <w:b/>
          <w:spacing w:val="0"/>
          <w:sz w:val="24"/>
          <w:szCs w:val="24"/>
          <w:lang w:eastAsia="en-GB"/>
        </w:rPr>
      </w:pPr>
    </w:p>
    <w:p w:rsidRPr="000F2D21" w:rsidR="000F2D21" w:rsidP="000F2D21" w:rsidRDefault="000F2D21" w14:paraId="55AAFE24" w14:textId="77777777">
      <w:pPr>
        <w:rPr>
          <w:rFonts w:eastAsia="Arial"/>
          <w:b/>
          <w:spacing w:val="0"/>
          <w:sz w:val="24"/>
          <w:szCs w:val="24"/>
          <w:lang w:eastAsia="en-GB"/>
        </w:rPr>
      </w:pPr>
      <w:r w:rsidRPr="000F2D21">
        <w:rPr>
          <w:rFonts w:eastAsia="Arial"/>
          <w:b/>
          <w:spacing w:val="0"/>
          <w:sz w:val="24"/>
          <w:szCs w:val="24"/>
          <w:lang w:eastAsia="en-GB"/>
        </w:rPr>
        <w:t>JOINT INDEPENDENT AUDIT COMMITTEE</w:t>
      </w:r>
    </w:p>
    <w:p w:rsidRPr="000F2D21" w:rsidR="000F2D21" w:rsidP="000F2D21" w:rsidRDefault="009B291F" w14:paraId="1BE47E2D" w14:textId="1AF3DDCF">
      <w:pPr>
        <w:rPr>
          <w:rFonts w:eastAsia="Arial"/>
          <w:b/>
          <w:spacing w:val="0"/>
          <w:sz w:val="24"/>
          <w:szCs w:val="24"/>
          <w:lang w:eastAsia="en-GB"/>
        </w:rPr>
      </w:pPr>
      <w:r>
        <w:rPr>
          <w:rFonts w:eastAsia="Arial"/>
          <w:b/>
          <w:spacing w:val="0"/>
          <w:sz w:val="24"/>
          <w:szCs w:val="24"/>
          <w:lang w:eastAsia="en-GB"/>
        </w:rPr>
        <w:t>23 November</w:t>
      </w:r>
      <w:r w:rsidRPr="000F2D21" w:rsidR="000F2D21">
        <w:rPr>
          <w:rFonts w:eastAsia="Arial"/>
          <w:b/>
          <w:spacing w:val="0"/>
          <w:sz w:val="24"/>
          <w:szCs w:val="24"/>
          <w:lang w:eastAsia="en-GB"/>
        </w:rPr>
        <w:t xml:space="preserve"> 2023</w:t>
      </w:r>
    </w:p>
    <w:p w:rsidRPr="000F2D21" w:rsidR="000F2D21" w:rsidP="000F2D21" w:rsidRDefault="000F2D21" w14:paraId="27C948AF" w14:textId="77777777">
      <w:pPr>
        <w:rPr>
          <w:rFonts w:eastAsia="Arial"/>
          <w:spacing w:val="0"/>
          <w:sz w:val="24"/>
          <w:szCs w:val="24"/>
          <w:lang w:eastAsia="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078"/>
        <w:gridCol w:w="6669"/>
      </w:tblGrid>
      <w:tr w:rsidRPr="000F2D21" w:rsidR="000F2D21" w:rsidTr="00CB7C46" w14:paraId="1DB3A87F" w14:textId="77777777">
        <w:tc>
          <w:tcPr>
            <w:tcW w:w="3078" w:type="dxa"/>
            <w:shd w:val="clear" w:color="auto" w:fill="auto"/>
            <w:vAlign w:val="center"/>
          </w:tcPr>
          <w:p w:rsidRPr="000F2D21" w:rsidR="000F2D21" w:rsidP="000F2D21" w:rsidRDefault="000F2D21" w14:paraId="6FF62E39" w14:textId="77777777">
            <w:pPr>
              <w:spacing w:before="120" w:after="120"/>
              <w:jc w:val="both"/>
              <w:rPr>
                <w:rFonts w:eastAsia="Arial"/>
                <w:smallCaps/>
                <w:spacing w:val="0"/>
                <w:sz w:val="24"/>
                <w:szCs w:val="24"/>
                <w:lang w:eastAsia="en-GB"/>
              </w:rPr>
            </w:pPr>
            <w:r w:rsidRPr="000F2D21">
              <w:rPr>
                <w:rFonts w:eastAsia="Arial"/>
                <w:smallCaps/>
                <w:spacing w:val="0"/>
                <w:sz w:val="24"/>
                <w:szCs w:val="24"/>
                <w:lang w:eastAsia="en-GB"/>
              </w:rPr>
              <w:t>Subject</w:t>
            </w:r>
          </w:p>
        </w:tc>
        <w:tc>
          <w:tcPr>
            <w:tcW w:w="6669" w:type="dxa"/>
            <w:shd w:val="clear" w:color="auto" w:fill="auto"/>
            <w:vAlign w:val="center"/>
          </w:tcPr>
          <w:p w:rsidRPr="000F2D21" w:rsidR="000F2D21" w:rsidP="000F2D21" w:rsidRDefault="000F2D21" w14:paraId="525839F1" w14:textId="24575804">
            <w:pPr>
              <w:spacing w:before="120" w:after="120"/>
              <w:jc w:val="both"/>
              <w:rPr>
                <w:rFonts w:eastAsia="Arial"/>
                <w:b/>
                <w:spacing w:val="0"/>
                <w:sz w:val="24"/>
                <w:szCs w:val="24"/>
                <w:lang w:eastAsia="en-GB"/>
              </w:rPr>
            </w:pPr>
            <w:r>
              <w:rPr>
                <w:rFonts w:eastAsia="Arial"/>
                <w:b/>
                <w:spacing w:val="0"/>
                <w:sz w:val="24"/>
                <w:szCs w:val="24"/>
                <w:lang w:eastAsia="en-GB"/>
              </w:rPr>
              <w:t xml:space="preserve">Treasury Management </w:t>
            </w:r>
            <w:r w:rsidR="009B291F">
              <w:rPr>
                <w:rFonts w:eastAsia="Arial"/>
                <w:b/>
                <w:spacing w:val="0"/>
                <w:sz w:val="24"/>
                <w:szCs w:val="24"/>
                <w:lang w:eastAsia="en-GB"/>
              </w:rPr>
              <w:t>Mid Year Report 2023/24</w:t>
            </w:r>
          </w:p>
        </w:tc>
      </w:tr>
      <w:tr w:rsidRPr="000F2D21" w:rsidR="000F2D21" w:rsidTr="00CB7C46" w14:paraId="64496F02" w14:textId="77777777">
        <w:tc>
          <w:tcPr>
            <w:tcW w:w="3078" w:type="dxa"/>
          </w:tcPr>
          <w:p w:rsidRPr="000F2D21" w:rsidR="000F2D21" w:rsidP="000F2D21" w:rsidRDefault="000F2D21" w14:paraId="1053D0BA" w14:textId="77777777">
            <w:pPr>
              <w:spacing w:before="120"/>
              <w:jc w:val="both"/>
              <w:rPr>
                <w:rFonts w:eastAsia="Arial"/>
                <w:smallCaps/>
                <w:spacing w:val="0"/>
                <w:sz w:val="24"/>
                <w:szCs w:val="24"/>
                <w:lang w:eastAsia="en-GB"/>
              </w:rPr>
            </w:pPr>
            <w:r w:rsidRPr="000F2D21">
              <w:rPr>
                <w:rFonts w:eastAsia="Arial"/>
                <w:smallCaps/>
                <w:spacing w:val="0"/>
                <w:sz w:val="24"/>
                <w:szCs w:val="24"/>
                <w:lang w:eastAsia="en-GB"/>
              </w:rPr>
              <w:t>Report by</w:t>
            </w:r>
          </w:p>
        </w:tc>
        <w:tc>
          <w:tcPr>
            <w:tcW w:w="6669" w:type="dxa"/>
          </w:tcPr>
          <w:p w:rsidRPr="000F2D21" w:rsidR="000F2D21" w:rsidP="000F2D21" w:rsidRDefault="000F2D21" w14:paraId="7A7B3912" w14:textId="14569D32">
            <w:pPr>
              <w:spacing w:before="120"/>
              <w:rPr>
                <w:rFonts w:eastAsia="Arial"/>
                <w:b/>
                <w:spacing w:val="0"/>
                <w:sz w:val="24"/>
                <w:szCs w:val="24"/>
                <w:lang w:eastAsia="en-GB"/>
              </w:rPr>
            </w:pPr>
            <w:r>
              <w:rPr>
                <w:rFonts w:eastAsia="Arial"/>
                <w:b/>
                <w:spacing w:val="0"/>
                <w:sz w:val="24"/>
                <w:szCs w:val="24"/>
                <w:lang w:eastAsia="en-GB"/>
              </w:rPr>
              <w:t>CC CFO &amp; PCC CFO</w:t>
            </w:r>
          </w:p>
        </w:tc>
      </w:tr>
      <w:tr w:rsidRPr="000F2D21" w:rsidR="000F2D21" w:rsidTr="00CB7C46" w14:paraId="32B6CD5A" w14:textId="77777777">
        <w:tc>
          <w:tcPr>
            <w:tcW w:w="3078" w:type="dxa"/>
          </w:tcPr>
          <w:p w:rsidRPr="000F2D21" w:rsidR="000F2D21" w:rsidP="000F2D21" w:rsidRDefault="000F2D21" w14:paraId="70348926" w14:textId="77777777">
            <w:pPr>
              <w:spacing w:before="120" w:after="120"/>
              <w:jc w:val="both"/>
              <w:rPr>
                <w:rFonts w:eastAsia="Arial"/>
                <w:smallCaps/>
                <w:spacing w:val="0"/>
                <w:sz w:val="24"/>
                <w:szCs w:val="24"/>
                <w:lang w:eastAsia="en-GB"/>
              </w:rPr>
            </w:pPr>
            <w:r w:rsidRPr="000F2D21">
              <w:rPr>
                <w:rFonts w:eastAsia="Arial"/>
                <w:smallCaps/>
                <w:spacing w:val="0"/>
                <w:sz w:val="24"/>
                <w:szCs w:val="24"/>
                <w:lang w:eastAsia="en-GB"/>
              </w:rPr>
              <w:t>Contact officer</w:t>
            </w:r>
          </w:p>
        </w:tc>
        <w:tc>
          <w:tcPr>
            <w:tcW w:w="6669" w:type="dxa"/>
          </w:tcPr>
          <w:p w:rsidR="000F2D21" w:rsidP="000F2D21" w:rsidRDefault="009B291F" w14:paraId="2A7E6673" w14:textId="4820E535">
            <w:pPr>
              <w:spacing w:before="120"/>
              <w:jc w:val="both"/>
              <w:rPr>
                <w:rFonts w:eastAsia="Arial"/>
                <w:b/>
                <w:spacing w:val="0"/>
                <w:sz w:val="24"/>
                <w:szCs w:val="24"/>
                <w:lang w:eastAsia="en-GB"/>
              </w:rPr>
            </w:pPr>
            <w:r>
              <w:rPr>
                <w:rFonts w:eastAsia="Arial"/>
                <w:b/>
                <w:spacing w:val="0"/>
                <w:sz w:val="24"/>
                <w:szCs w:val="24"/>
                <w:lang w:eastAsia="en-GB"/>
              </w:rPr>
              <w:t>Liam Kerry</w:t>
            </w:r>
          </w:p>
          <w:p w:rsidRPr="000F2D21" w:rsidR="000F2D21" w:rsidP="000F2D21" w:rsidRDefault="009B291F" w14:paraId="0BB33B44" w14:textId="0E41F84A">
            <w:pPr>
              <w:spacing w:before="120"/>
              <w:jc w:val="both"/>
              <w:rPr>
                <w:rFonts w:eastAsia="Arial"/>
                <w:b/>
                <w:spacing w:val="0"/>
                <w:sz w:val="24"/>
                <w:szCs w:val="24"/>
                <w:lang w:eastAsia="en-GB"/>
              </w:rPr>
            </w:pPr>
            <w:r>
              <w:rPr>
                <w:rFonts w:eastAsia="Arial"/>
                <w:b/>
                <w:spacing w:val="0"/>
                <w:sz w:val="24"/>
                <w:szCs w:val="24"/>
                <w:lang w:eastAsia="en-GB"/>
              </w:rPr>
              <w:t>liam.kerry</w:t>
            </w:r>
            <w:r w:rsidR="000F2D21">
              <w:rPr>
                <w:rFonts w:eastAsia="Arial"/>
                <w:b/>
                <w:spacing w:val="0"/>
                <w:sz w:val="24"/>
                <w:szCs w:val="24"/>
                <w:lang w:eastAsia="en-GB"/>
              </w:rPr>
              <w:t>@notts.police.uk</w:t>
            </w:r>
          </w:p>
          <w:p w:rsidRPr="000F2D21" w:rsidR="000F2D21" w:rsidP="000F2D21" w:rsidRDefault="000F2D21" w14:paraId="4E2D1621" w14:textId="77777777">
            <w:pPr>
              <w:spacing w:after="120"/>
              <w:jc w:val="both"/>
              <w:rPr>
                <w:rFonts w:eastAsia="Arial"/>
                <w:b/>
                <w:spacing w:val="0"/>
                <w:sz w:val="24"/>
                <w:szCs w:val="24"/>
                <w:lang w:eastAsia="en-GB"/>
              </w:rPr>
            </w:pPr>
          </w:p>
        </w:tc>
      </w:tr>
      <w:tr w:rsidRPr="000F2D21" w:rsidR="000F2D21" w:rsidTr="00CB7C46" w14:paraId="59AAC6DF" w14:textId="77777777">
        <w:trPr>
          <w:cantSplit/>
        </w:trPr>
        <w:tc>
          <w:tcPr>
            <w:tcW w:w="9747" w:type="dxa"/>
            <w:gridSpan w:val="2"/>
          </w:tcPr>
          <w:p w:rsidRPr="000F2D21" w:rsidR="000F2D21" w:rsidP="000F2D21" w:rsidRDefault="000F2D21" w14:paraId="29F0B59C" w14:textId="77777777">
            <w:pPr>
              <w:spacing w:before="120"/>
              <w:jc w:val="both"/>
              <w:rPr>
                <w:rFonts w:eastAsia="Arial"/>
                <w:b/>
                <w:spacing w:val="0"/>
                <w:sz w:val="24"/>
                <w:szCs w:val="24"/>
                <w:lang w:eastAsia="en-GB"/>
              </w:rPr>
            </w:pPr>
            <w:r w:rsidRPr="000F2D21">
              <w:rPr>
                <w:rFonts w:eastAsia="Arial"/>
                <w:b/>
                <w:spacing w:val="0"/>
                <w:sz w:val="24"/>
                <w:szCs w:val="24"/>
                <w:lang w:eastAsia="en-GB"/>
              </w:rPr>
              <w:t>SUMMARY AND PURPOSE OF REPORT</w:t>
            </w:r>
          </w:p>
          <w:p w:rsidRPr="000F2D21" w:rsidR="000F2D21" w:rsidP="000F2D21" w:rsidRDefault="000F2D21" w14:paraId="1273F931" w14:textId="77777777">
            <w:pPr>
              <w:rPr>
                <w:rFonts w:eastAsia="Arial" w:cs="Arial"/>
                <w:color w:val="000000"/>
                <w:spacing w:val="0"/>
                <w:sz w:val="24"/>
                <w:szCs w:val="24"/>
                <w:lang w:eastAsia="en-GB"/>
              </w:rPr>
            </w:pPr>
          </w:p>
          <w:p w:rsidRPr="000F2D21" w:rsidR="000F2D21" w:rsidP="000F2D21" w:rsidRDefault="000F2D21" w14:paraId="4ECAEB1E" w14:textId="70F4C0E2">
            <w:pPr>
              <w:jc w:val="both"/>
              <w:rPr>
                <w:rFonts w:eastAsia="Arial"/>
                <w:spacing w:val="0"/>
                <w:sz w:val="24"/>
                <w:szCs w:val="24"/>
                <w:lang w:eastAsia="en-GB"/>
              </w:rPr>
            </w:pPr>
            <w:r>
              <w:rPr>
                <w:rFonts w:eastAsia="Arial"/>
                <w:spacing w:val="0"/>
                <w:sz w:val="24"/>
                <w:szCs w:val="24"/>
                <w:lang w:eastAsia="en-GB"/>
              </w:rPr>
              <w:t xml:space="preserve">To </w:t>
            </w:r>
            <w:r w:rsidRPr="000F2D21">
              <w:rPr>
                <w:rFonts w:eastAsia="Arial"/>
                <w:spacing w:val="0"/>
                <w:sz w:val="24"/>
                <w:szCs w:val="24"/>
                <w:lang w:eastAsia="en-GB"/>
              </w:rPr>
              <w:t xml:space="preserve">present the </w:t>
            </w:r>
            <w:r w:rsidR="002C4B6A">
              <w:rPr>
                <w:rFonts w:eastAsia="Arial"/>
                <w:spacing w:val="0"/>
                <w:sz w:val="24"/>
                <w:szCs w:val="24"/>
                <w:lang w:eastAsia="en-GB"/>
              </w:rPr>
              <w:t>t</w:t>
            </w:r>
            <w:r w:rsidRPr="000F2D21">
              <w:rPr>
                <w:rFonts w:eastAsia="Arial"/>
                <w:spacing w:val="0"/>
                <w:sz w:val="24"/>
                <w:szCs w:val="24"/>
                <w:lang w:eastAsia="en-GB"/>
              </w:rPr>
              <w:t xml:space="preserve">reasury </w:t>
            </w:r>
            <w:r w:rsidR="002C4B6A">
              <w:rPr>
                <w:rFonts w:eastAsia="Arial"/>
                <w:spacing w:val="0"/>
                <w:sz w:val="24"/>
                <w:szCs w:val="24"/>
                <w:lang w:eastAsia="en-GB"/>
              </w:rPr>
              <w:t>m</w:t>
            </w:r>
            <w:r w:rsidRPr="000F2D21">
              <w:rPr>
                <w:rFonts w:eastAsia="Arial"/>
                <w:spacing w:val="0"/>
                <w:sz w:val="24"/>
                <w:szCs w:val="24"/>
                <w:lang w:eastAsia="en-GB"/>
              </w:rPr>
              <w:t xml:space="preserve">anagement </w:t>
            </w:r>
            <w:r w:rsidR="009B291F">
              <w:rPr>
                <w:rFonts w:eastAsia="Arial"/>
                <w:spacing w:val="0"/>
                <w:sz w:val="24"/>
                <w:szCs w:val="24"/>
                <w:lang w:eastAsia="en-GB"/>
              </w:rPr>
              <w:t>interim report 2023/24 as at 30</w:t>
            </w:r>
            <w:r w:rsidRPr="009B291F" w:rsidR="009B291F">
              <w:rPr>
                <w:rFonts w:eastAsia="Arial"/>
                <w:spacing w:val="0"/>
                <w:sz w:val="24"/>
                <w:szCs w:val="24"/>
                <w:vertAlign w:val="superscript"/>
                <w:lang w:eastAsia="en-GB"/>
              </w:rPr>
              <w:t>th</w:t>
            </w:r>
            <w:r w:rsidR="009B291F">
              <w:rPr>
                <w:rFonts w:eastAsia="Arial"/>
                <w:spacing w:val="0"/>
                <w:sz w:val="24"/>
                <w:szCs w:val="24"/>
                <w:lang w:eastAsia="en-GB"/>
              </w:rPr>
              <w:t xml:space="preserve"> September 2023.</w:t>
            </w:r>
          </w:p>
        </w:tc>
      </w:tr>
      <w:tr w:rsidRPr="000F2D21" w:rsidR="000F2D21" w:rsidTr="00CB7C46" w14:paraId="3F7DA614" w14:textId="77777777">
        <w:trPr>
          <w:trHeight w:val="990"/>
        </w:trPr>
        <w:tc>
          <w:tcPr>
            <w:tcW w:w="3078" w:type="dxa"/>
          </w:tcPr>
          <w:p w:rsidRPr="000F2D21" w:rsidR="000F2D21" w:rsidP="000F2D21" w:rsidRDefault="000F2D21" w14:paraId="079C4536" w14:textId="77777777">
            <w:pPr>
              <w:rPr>
                <w:rFonts w:eastAsia="Arial" w:cs="Arial"/>
                <w:spacing w:val="0"/>
                <w:sz w:val="24"/>
                <w:szCs w:val="24"/>
                <w:lang w:eastAsia="en-GB"/>
              </w:rPr>
            </w:pPr>
          </w:p>
          <w:p w:rsidRPr="000F2D21" w:rsidR="000F2D21" w:rsidP="000F2D21" w:rsidRDefault="000F2D21" w14:paraId="1117E72F" w14:textId="77777777">
            <w:pPr>
              <w:rPr>
                <w:rFonts w:ascii="Times New Roman" w:hAnsi="Times New Roman"/>
                <w:spacing w:val="0"/>
                <w:sz w:val="24"/>
                <w:szCs w:val="24"/>
                <w:lang w:eastAsia="en-GB"/>
              </w:rPr>
            </w:pPr>
            <w:r w:rsidRPr="000F2D21">
              <w:rPr>
                <w:rFonts w:eastAsia="Arial" w:cs="Arial"/>
                <w:b/>
                <w:spacing w:val="0"/>
                <w:sz w:val="24"/>
                <w:szCs w:val="24"/>
                <w:lang w:eastAsia="en-GB"/>
              </w:rPr>
              <w:t>RECOMMENDATION</w:t>
            </w:r>
          </w:p>
        </w:tc>
        <w:tc>
          <w:tcPr>
            <w:tcW w:w="6669" w:type="dxa"/>
          </w:tcPr>
          <w:p w:rsidRPr="000F2D21" w:rsidR="000F2D21" w:rsidP="000F2D21" w:rsidRDefault="000F2D21" w14:paraId="5D0CC340" w14:textId="77777777">
            <w:pPr>
              <w:tabs>
                <w:tab w:val="left" w:pos="2160"/>
              </w:tabs>
              <w:rPr>
                <w:rFonts w:eastAsia="Arial"/>
                <w:spacing w:val="0"/>
                <w:sz w:val="24"/>
                <w:szCs w:val="24"/>
                <w:lang w:eastAsia="en-GB"/>
              </w:rPr>
            </w:pPr>
          </w:p>
          <w:p w:rsidRPr="000F2D21" w:rsidR="000F2D21" w:rsidP="000F2D21" w:rsidRDefault="000F2D21" w14:paraId="4DAB4B89" w14:textId="2A23E036">
            <w:pPr>
              <w:tabs>
                <w:tab w:val="left" w:pos="2160"/>
              </w:tabs>
              <w:jc w:val="both"/>
              <w:rPr>
                <w:rFonts w:eastAsia="Arial"/>
                <w:i/>
                <w:spacing w:val="0"/>
                <w:sz w:val="24"/>
                <w:szCs w:val="24"/>
                <w:lang w:eastAsia="en-GB"/>
              </w:rPr>
            </w:pPr>
            <w:r w:rsidRPr="000F2D21">
              <w:rPr>
                <w:rFonts w:eastAsia="Arial"/>
                <w:i/>
                <w:spacing w:val="0"/>
                <w:sz w:val="24"/>
                <w:szCs w:val="24"/>
                <w:lang w:eastAsia="en-GB"/>
              </w:rPr>
              <w:t xml:space="preserve"> That the Committee </w:t>
            </w:r>
            <w:r>
              <w:rPr>
                <w:rFonts w:eastAsia="Arial"/>
                <w:i/>
                <w:spacing w:val="0"/>
                <w:sz w:val="24"/>
                <w:szCs w:val="24"/>
                <w:lang w:eastAsia="en-GB"/>
              </w:rPr>
              <w:t>note the report</w:t>
            </w:r>
            <w:r w:rsidRPr="000F2D21">
              <w:rPr>
                <w:rFonts w:eastAsia="Arial"/>
                <w:i/>
                <w:spacing w:val="0"/>
                <w:sz w:val="24"/>
                <w:szCs w:val="24"/>
                <w:lang w:eastAsia="en-GB"/>
              </w:rPr>
              <w:t>.</w:t>
            </w:r>
          </w:p>
        </w:tc>
      </w:tr>
    </w:tbl>
    <w:p w:rsidRPr="000F2D21" w:rsidR="000F2D21" w:rsidP="000F2D21" w:rsidRDefault="000F2D21" w14:paraId="525928E7" w14:textId="77777777">
      <w:pPr>
        <w:jc w:val="both"/>
        <w:rPr>
          <w:rFonts w:eastAsia="Arial"/>
          <w:spacing w:val="0"/>
          <w:sz w:val="24"/>
          <w:szCs w:val="24"/>
          <w:lang w:eastAsia="en-GB"/>
        </w:rPr>
      </w:pPr>
    </w:p>
    <w:p w:rsidRPr="000F2D21" w:rsidR="000F2D21" w:rsidP="000F2D21" w:rsidRDefault="000F2D21" w14:paraId="41830560" w14:textId="77777777">
      <w:pPr>
        <w:jc w:val="both"/>
        <w:rPr>
          <w:rFonts w:eastAsia="Arial"/>
          <w:b/>
          <w:spacing w:val="0"/>
          <w:sz w:val="26"/>
          <w:szCs w:val="24"/>
          <w:lang w:eastAsia="en-GB"/>
        </w:rPr>
      </w:pPr>
      <w:r w:rsidRPr="000F2D21">
        <w:rPr>
          <w:rFonts w:eastAsia="Arial"/>
          <w:b/>
          <w:spacing w:val="0"/>
          <w:sz w:val="26"/>
          <w:szCs w:val="24"/>
          <w:lang w:eastAsia="en-GB"/>
        </w:rPr>
        <w:t>A.</w:t>
      </w:r>
      <w:r w:rsidRPr="000F2D21">
        <w:rPr>
          <w:rFonts w:eastAsia="Arial"/>
          <w:b/>
          <w:spacing w:val="0"/>
          <w:sz w:val="26"/>
          <w:szCs w:val="24"/>
          <w:lang w:eastAsia="en-GB"/>
        </w:rPr>
        <w:tab/>
        <w:t>SUPPORTING INFORMATION</w:t>
      </w:r>
    </w:p>
    <w:p w:rsidRPr="000F2D21" w:rsidR="000F2D21" w:rsidP="000F2D21" w:rsidRDefault="000F2D21" w14:paraId="5A721D73" w14:textId="77777777">
      <w:pPr>
        <w:jc w:val="both"/>
        <w:rPr>
          <w:rFonts w:eastAsia="Arial" w:cs="Arial"/>
          <w:spacing w:val="0"/>
          <w:sz w:val="22"/>
          <w:szCs w:val="22"/>
        </w:rPr>
      </w:pPr>
    </w:p>
    <w:p w:rsidRPr="00C32AB1" w:rsidR="000F2D21" w:rsidP="00C32AB1" w:rsidRDefault="000F2D21" w14:paraId="0F0829D5" w14:textId="47C785D5">
      <w:pPr>
        <w:ind w:left="720"/>
        <w:jc w:val="both"/>
        <w:rPr>
          <w:rFonts w:eastAsia="Arial"/>
          <w:spacing w:val="0"/>
          <w:sz w:val="22"/>
          <w:szCs w:val="22"/>
        </w:rPr>
      </w:pPr>
      <w:r w:rsidRPr="00C32AB1">
        <w:rPr>
          <w:rFonts w:eastAsia="Arial"/>
          <w:bCs/>
          <w:spacing w:val="0"/>
          <w:sz w:val="22"/>
          <w:szCs w:val="22"/>
        </w:rPr>
        <w:t>The PCC is required by regulations issued under the Local Government Act 2003 to report on its Prudential Code indicators and treasury activity. This report meets the requirements of both the CIPFA Code of Practice on Treasury Management (the Code) and the CIPFA Prudential Code for Capital Finance in Local Authorities (the Prudential Code).</w:t>
      </w:r>
    </w:p>
    <w:p w:rsidRPr="00C32AB1" w:rsidR="000F2D21" w:rsidP="00C32AB1" w:rsidRDefault="000F2D21" w14:paraId="66E09BFE" w14:textId="07A49A55">
      <w:pPr>
        <w:ind w:left="720"/>
        <w:jc w:val="both"/>
        <w:rPr>
          <w:rFonts w:eastAsia="Arial"/>
          <w:spacing w:val="0"/>
          <w:sz w:val="22"/>
          <w:szCs w:val="22"/>
        </w:rPr>
      </w:pPr>
      <w:r w:rsidRPr="00C32AB1">
        <w:rPr>
          <w:rFonts w:eastAsia="Arial"/>
          <w:spacing w:val="0"/>
          <w:sz w:val="22"/>
          <w:szCs w:val="22"/>
        </w:rPr>
        <w:t xml:space="preserve">Members are invited to review </w:t>
      </w:r>
      <w:r w:rsidRPr="00C32AB1" w:rsidR="009B291F">
        <w:rPr>
          <w:rFonts w:eastAsia="Arial"/>
          <w:spacing w:val="0"/>
          <w:sz w:val="22"/>
          <w:szCs w:val="22"/>
        </w:rPr>
        <w:t xml:space="preserve">the </w:t>
      </w:r>
      <w:r w:rsidRPr="00C32AB1" w:rsidR="009B291F">
        <w:rPr>
          <w:rFonts w:eastAsia="Arial"/>
          <w:spacing w:val="0"/>
          <w:sz w:val="22"/>
          <w:szCs w:val="22"/>
          <w:lang w:eastAsia="en-GB"/>
        </w:rPr>
        <w:t xml:space="preserve">treasury management interim report 2023/24 </w:t>
      </w:r>
      <w:r w:rsidRPr="00C32AB1">
        <w:rPr>
          <w:rFonts w:eastAsia="Arial"/>
          <w:spacing w:val="0"/>
          <w:sz w:val="22"/>
          <w:szCs w:val="22"/>
        </w:rPr>
        <w:t xml:space="preserve">attached at Appendix 1. </w:t>
      </w:r>
    </w:p>
    <w:p w:rsidRPr="000F2D21" w:rsidR="000F2D21" w:rsidP="000F2D21" w:rsidRDefault="000F2D21" w14:paraId="51CD4999" w14:textId="77777777">
      <w:pPr>
        <w:jc w:val="both"/>
        <w:rPr>
          <w:rFonts w:eastAsia="Arial"/>
          <w:spacing w:val="0"/>
          <w:sz w:val="26"/>
        </w:rPr>
      </w:pPr>
    </w:p>
    <w:p w:rsidRPr="000F2D21" w:rsidR="000F2D21" w:rsidP="000F2D21" w:rsidRDefault="000F2D21" w14:paraId="4B8D42C1" w14:textId="77777777">
      <w:pPr>
        <w:jc w:val="both"/>
        <w:rPr>
          <w:rFonts w:eastAsia="Arial" w:cs="Arial"/>
          <w:spacing w:val="0"/>
          <w:sz w:val="23"/>
          <w:szCs w:val="23"/>
          <w:lang w:eastAsia="en-GB"/>
        </w:rPr>
      </w:pPr>
      <w:r w:rsidRPr="000F2D21">
        <w:rPr>
          <w:rFonts w:eastAsia="Arial"/>
          <w:b/>
          <w:spacing w:val="0"/>
          <w:sz w:val="26"/>
        </w:rPr>
        <w:t>B.</w:t>
      </w:r>
      <w:r w:rsidRPr="000F2D21">
        <w:rPr>
          <w:rFonts w:eastAsia="Arial"/>
          <w:b/>
          <w:spacing w:val="0"/>
          <w:sz w:val="26"/>
        </w:rPr>
        <w:tab/>
        <w:t>FINANCIAL CONSIDERATIONS</w:t>
      </w:r>
    </w:p>
    <w:p w:rsidRPr="000F2D21" w:rsidR="000F2D21" w:rsidP="000F2D21" w:rsidRDefault="000F2D21" w14:paraId="0546CD98" w14:textId="77777777">
      <w:pPr>
        <w:jc w:val="both"/>
        <w:rPr>
          <w:rFonts w:eastAsia="Arial"/>
          <w:spacing w:val="0"/>
          <w:sz w:val="22"/>
          <w:szCs w:val="22"/>
        </w:rPr>
      </w:pPr>
    </w:p>
    <w:p w:rsidRPr="000F2D21" w:rsidR="000F2D21" w:rsidP="000F2D21" w:rsidRDefault="000F2D21" w14:paraId="0849EDC7" w14:textId="09955FCC">
      <w:pPr>
        <w:ind w:firstLine="720"/>
        <w:jc w:val="both"/>
        <w:rPr>
          <w:rFonts w:eastAsia="Arial"/>
          <w:spacing w:val="0"/>
          <w:sz w:val="22"/>
          <w:szCs w:val="22"/>
        </w:rPr>
      </w:pPr>
      <w:r w:rsidRPr="000F2D21">
        <w:rPr>
          <w:rFonts w:eastAsia="Arial"/>
          <w:spacing w:val="0"/>
          <w:sz w:val="22"/>
          <w:szCs w:val="22"/>
        </w:rPr>
        <w:t xml:space="preserve">There are no </w:t>
      </w:r>
      <w:r>
        <w:rPr>
          <w:rFonts w:eastAsia="Arial"/>
          <w:spacing w:val="0"/>
          <w:sz w:val="22"/>
          <w:szCs w:val="22"/>
        </w:rPr>
        <w:t xml:space="preserve">additional </w:t>
      </w:r>
      <w:r w:rsidRPr="000F2D21">
        <w:rPr>
          <w:rFonts w:eastAsia="Arial"/>
          <w:spacing w:val="0"/>
          <w:sz w:val="22"/>
          <w:szCs w:val="22"/>
        </w:rPr>
        <w:t>financial implications to those contained in the appendices.</w:t>
      </w:r>
      <w:r w:rsidRPr="000F2D21">
        <w:rPr>
          <w:rFonts w:eastAsia="Arial"/>
          <w:spacing w:val="0"/>
          <w:sz w:val="22"/>
          <w:szCs w:val="22"/>
        </w:rPr>
        <w:tab/>
      </w:r>
    </w:p>
    <w:p w:rsidRPr="000F2D21" w:rsidR="000F2D21" w:rsidP="000F2D21" w:rsidRDefault="000F2D21" w14:paraId="34E2A045" w14:textId="77777777">
      <w:pPr>
        <w:jc w:val="both"/>
        <w:rPr>
          <w:rFonts w:eastAsia="Arial"/>
          <w:spacing w:val="0"/>
          <w:sz w:val="26"/>
        </w:rPr>
      </w:pPr>
      <w:r w:rsidRPr="000F2D21">
        <w:rPr>
          <w:rFonts w:eastAsia="Arial"/>
          <w:b/>
          <w:spacing w:val="0"/>
          <w:sz w:val="26"/>
        </w:rPr>
        <w:t>C.</w:t>
      </w:r>
      <w:r w:rsidRPr="000F2D21">
        <w:rPr>
          <w:rFonts w:eastAsia="Arial"/>
          <w:b/>
          <w:spacing w:val="0"/>
          <w:sz w:val="26"/>
        </w:rPr>
        <w:tab/>
        <w:t>LEGAL AND HUMAN RIGHTS CONSIDERATIONS</w:t>
      </w:r>
    </w:p>
    <w:p w:rsidRPr="000F2D21" w:rsidR="000F2D21" w:rsidP="000F2D21" w:rsidRDefault="000F2D21" w14:paraId="752B4E0E" w14:textId="77777777">
      <w:pPr>
        <w:jc w:val="both"/>
        <w:rPr>
          <w:rFonts w:eastAsia="Arial"/>
          <w:spacing w:val="0"/>
          <w:sz w:val="22"/>
          <w:szCs w:val="22"/>
        </w:rPr>
      </w:pPr>
    </w:p>
    <w:p w:rsidRPr="000F2D21" w:rsidR="000F2D21" w:rsidP="000F2D21" w:rsidRDefault="000F2D21" w14:paraId="195E6ADF" w14:textId="77777777">
      <w:pPr>
        <w:ind w:left="720"/>
        <w:jc w:val="both"/>
        <w:rPr>
          <w:rFonts w:eastAsia="Arial"/>
          <w:spacing w:val="0"/>
          <w:sz w:val="22"/>
          <w:szCs w:val="22"/>
        </w:rPr>
      </w:pPr>
      <w:r w:rsidRPr="000F2D21">
        <w:rPr>
          <w:rFonts w:eastAsia="Arial"/>
          <w:spacing w:val="0"/>
          <w:sz w:val="22"/>
          <w:szCs w:val="22"/>
        </w:rPr>
        <w:t>None.</w:t>
      </w:r>
    </w:p>
    <w:p w:rsidRPr="000F2D21" w:rsidR="000F2D21" w:rsidP="000F2D21" w:rsidRDefault="000F2D21" w14:paraId="5636A32F" w14:textId="77777777">
      <w:pPr>
        <w:jc w:val="both"/>
        <w:rPr>
          <w:rFonts w:eastAsia="Arial"/>
          <w:spacing w:val="0"/>
          <w:sz w:val="22"/>
          <w:szCs w:val="22"/>
        </w:rPr>
      </w:pPr>
    </w:p>
    <w:p w:rsidRPr="000F2D21" w:rsidR="000F2D21" w:rsidP="000F2D21" w:rsidRDefault="000F2D21" w14:paraId="091F286E" w14:textId="77777777">
      <w:pPr>
        <w:ind w:left="720" w:hanging="720"/>
        <w:jc w:val="both"/>
        <w:rPr>
          <w:rFonts w:eastAsia="Arial"/>
          <w:b/>
          <w:spacing w:val="0"/>
          <w:sz w:val="26"/>
        </w:rPr>
      </w:pPr>
      <w:r w:rsidRPr="000F2D21">
        <w:rPr>
          <w:rFonts w:eastAsia="Arial"/>
          <w:b/>
          <w:spacing w:val="0"/>
          <w:sz w:val="26"/>
        </w:rPr>
        <w:t>D.</w:t>
      </w:r>
      <w:r w:rsidRPr="000F2D21">
        <w:rPr>
          <w:rFonts w:eastAsia="Arial"/>
          <w:b/>
          <w:spacing w:val="0"/>
          <w:sz w:val="26"/>
        </w:rPr>
        <w:tab/>
        <w:t xml:space="preserve">PERSONNEL, EQUAL OPPORTUNITIES AND DIVERSITY ISSUES </w:t>
      </w:r>
    </w:p>
    <w:p w:rsidRPr="000F2D21" w:rsidR="000F2D21" w:rsidP="000F2D21" w:rsidRDefault="000F2D21" w14:paraId="0B5EBC16" w14:textId="77777777">
      <w:pPr>
        <w:ind w:left="720"/>
        <w:jc w:val="both"/>
        <w:rPr>
          <w:rFonts w:eastAsia="Arial"/>
          <w:spacing w:val="0"/>
          <w:sz w:val="23"/>
        </w:rPr>
      </w:pPr>
      <w:r w:rsidRPr="000F2D21">
        <w:rPr>
          <w:rFonts w:eastAsia="Arial" w:cs="Arial"/>
          <w:bCs/>
          <w:spacing w:val="0"/>
        </w:rPr>
        <w:t>(including</w:t>
      </w:r>
      <w:r w:rsidRPr="000F2D21">
        <w:rPr>
          <w:rFonts w:eastAsia="Arial"/>
          <w:b/>
          <w:spacing w:val="0"/>
        </w:rPr>
        <w:t xml:space="preserve"> </w:t>
      </w:r>
      <w:r w:rsidRPr="000F2D21">
        <w:rPr>
          <w:rFonts w:eastAsia="Arial" w:cs="Arial"/>
          <w:spacing w:val="0"/>
          <w:lang w:val="en-US"/>
        </w:rPr>
        <w:t>any impact or issues relating to Children and Young People)</w:t>
      </w:r>
    </w:p>
    <w:p w:rsidRPr="000F2D21" w:rsidR="000F2D21" w:rsidP="000F2D21" w:rsidRDefault="000F2D21" w14:paraId="4C624D57" w14:textId="77777777">
      <w:pPr>
        <w:jc w:val="both"/>
        <w:rPr>
          <w:rFonts w:eastAsia="Arial"/>
          <w:spacing w:val="0"/>
          <w:sz w:val="22"/>
          <w:szCs w:val="22"/>
        </w:rPr>
      </w:pPr>
    </w:p>
    <w:p w:rsidRPr="000F2D21" w:rsidR="000F2D21" w:rsidP="000F2D21" w:rsidRDefault="000F2D21" w14:paraId="723DE908" w14:textId="77777777">
      <w:pPr>
        <w:ind w:firstLine="720"/>
        <w:jc w:val="both"/>
        <w:rPr>
          <w:rFonts w:eastAsia="Arial"/>
          <w:spacing w:val="0"/>
          <w:sz w:val="22"/>
          <w:szCs w:val="22"/>
        </w:rPr>
      </w:pPr>
      <w:r w:rsidRPr="000F2D21">
        <w:rPr>
          <w:rFonts w:eastAsia="Arial"/>
          <w:spacing w:val="0"/>
          <w:sz w:val="22"/>
          <w:szCs w:val="22"/>
        </w:rPr>
        <w:t>None.</w:t>
      </w:r>
    </w:p>
    <w:p w:rsidRPr="000F2D21" w:rsidR="000F2D21" w:rsidP="000F2D21" w:rsidRDefault="000F2D21" w14:paraId="4C21BD5C" w14:textId="77777777">
      <w:pPr>
        <w:jc w:val="both"/>
        <w:rPr>
          <w:rFonts w:eastAsia="Arial"/>
          <w:spacing w:val="0"/>
          <w:sz w:val="22"/>
          <w:szCs w:val="22"/>
        </w:rPr>
      </w:pPr>
    </w:p>
    <w:p w:rsidRPr="000F2D21" w:rsidR="000F2D21" w:rsidP="000F2D21" w:rsidRDefault="000F2D21" w14:paraId="456A4A2A" w14:textId="77777777">
      <w:pPr>
        <w:jc w:val="both"/>
        <w:rPr>
          <w:rFonts w:eastAsia="Arial"/>
          <w:spacing w:val="0"/>
          <w:sz w:val="26"/>
        </w:rPr>
      </w:pPr>
      <w:r w:rsidRPr="000F2D21">
        <w:rPr>
          <w:rFonts w:eastAsia="Arial"/>
          <w:b/>
          <w:spacing w:val="0"/>
          <w:sz w:val="26"/>
        </w:rPr>
        <w:t>E.</w:t>
      </w:r>
      <w:r w:rsidRPr="000F2D21">
        <w:rPr>
          <w:rFonts w:eastAsia="Arial"/>
          <w:b/>
          <w:spacing w:val="0"/>
          <w:sz w:val="26"/>
        </w:rPr>
        <w:tab/>
        <w:t>REVIEW ARRANGEMENTS</w:t>
      </w:r>
    </w:p>
    <w:p w:rsidRPr="000F2D21" w:rsidR="000F2D21" w:rsidP="000F2D21" w:rsidRDefault="000F2D21" w14:paraId="19ABFBA3" w14:textId="77777777">
      <w:pPr>
        <w:jc w:val="both"/>
        <w:rPr>
          <w:rFonts w:eastAsia="Arial"/>
          <w:spacing w:val="0"/>
          <w:sz w:val="22"/>
          <w:szCs w:val="22"/>
        </w:rPr>
      </w:pPr>
    </w:p>
    <w:p w:rsidR="00332136" w:rsidP="000F2D21" w:rsidRDefault="000F2D21" w14:paraId="4FBA2B21" w14:textId="2E57A36C">
      <w:pPr>
        <w:ind w:left="720"/>
        <w:jc w:val="both"/>
        <w:rPr>
          <w:rFonts w:eastAsia="Arial"/>
          <w:spacing w:val="0"/>
          <w:sz w:val="22"/>
          <w:szCs w:val="22"/>
        </w:rPr>
      </w:pPr>
      <w:r w:rsidRPr="000F2D21">
        <w:rPr>
          <w:rFonts w:eastAsia="Arial"/>
          <w:spacing w:val="0"/>
          <w:sz w:val="22"/>
          <w:szCs w:val="22"/>
        </w:rPr>
        <w:t xml:space="preserve">The forward plan </w:t>
      </w:r>
      <w:r>
        <w:rPr>
          <w:rFonts w:eastAsia="Arial"/>
          <w:spacing w:val="0"/>
          <w:sz w:val="22"/>
          <w:szCs w:val="22"/>
        </w:rPr>
        <w:t xml:space="preserve">sets out the items that JIAC will review and note </w:t>
      </w:r>
      <w:r w:rsidR="00332136">
        <w:rPr>
          <w:rFonts w:eastAsia="Arial"/>
          <w:spacing w:val="0"/>
          <w:sz w:val="22"/>
          <w:szCs w:val="22"/>
        </w:rPr>
        <w:t>regarding</w:t>
      </w:r>
      <w:r>
        <w:rPr>
          <w:rFonts w:eastAsia="Arial"/>
          <w:spacing w:val="0"/>
          <w:sz w:val="22"/>
          <w:szCs w:val="22"/>
        </w:rPr>
        <w:t xml:space="preserve"> Treasury Management</w:t>
      </w:r>
      <w:r w:rsidR="00332136">
        <w:rPr>
          <w:rFonts w:eastAsia="Arial"/>
          <w:spacing w:val="0"/>
          <w:sz w:val="22"/>
          <w:szCs w:val="22"/>
        </w:rPr>
        <w:t>, as set out below:</w:t>
      </w:r>
    </w:p>
    <w:p w:rsidRPr="009B291F" w:rsidR="009B291F" w:rsidP="009B291F" w:rsidRDefault="009B291F" w14:paraId="41D27876" w14:textId="77777777">
      <w:pPr>
        <w:pStyle w:val="ListParagraph"/>
        <w:numPr>
          <w:ilvl w:val="0"/>
          <w:numId w:val="22"/>
        </w:numPr>
        <w:spacing w:after="160" w:line="259" w:lineRule="auto"/>
        <w:rPr>
          <w:rFonts w:cs="Arial" w:eastAsiaTheme="minorHAnsi"/>
          <w:sz w:val="22"/>
          <w:szCs w:val="22"/>
        </w:rPr>
      </w:pPr>
      <w:r w:rsidRPr="009B291F">
        <w:rPr>
          <w:rFonts w:cs="Arial" w:eastAsiaTheme="minorHAnsi"/>
          <w:sz w:val="22"/>
          <w:szCs w:val="22"/>
        </w:rPr>
        <w:t>An Annual Treasury Strategy in advance of the year.</w:t>
      </w:r>
    </w:p>
    <w:p w:rsidRPr="009B291F" w:rsidR="009B291F" w:rsidP="009B291F" w:rsidRDefault="009B291F" w14:paraId="426411A5" w14:textId="4C3EA3B0">
      <w:pPr>
        <w:pStyle w:val="ListParagraph"/>
        <w:numPr>
          <w:ilvl w:val="0"/>
          <w:numId w:val="22"/>
        </w:numPr>
        <w:spacing w:after="160" w:line="259" w:lineRule="auto"/>
        <w:rPr>
          <w:rFonts w:cs="Arial" w:eastAsiaTheme="minorHAnsi"/>
          <w:sz w:val="22"/>
          <w:szCs w:val="22"/>
        </w:rPr>
      </w:pPr>
      <w:r w:rsidRPr="009B291F">
        <w:rPr>
          <w:rFonts w:cs="Arial" w:eastAsiaTheme="minorHAnsi"/>
          <w:sz w:val="22"/>
          <w:szCs w:val="22"/>
        </w:rPr>
        <w:t>A Mid-Year Treasury Update Report (</w:t>
      </w:r>
      <w:r w:rsidR="004A7298">
        <w:rPr>
          <w:rFonts w:cs="Arial" w:eastAsiaTheme="minorHAnsi"/>
          <w:sz w:val="22"/>
          <w:szCs w:val="22"/>
        </w:rPr>
        <w:t>Appendix 1</w:t>
      </w:r>
      <w:r w:rsidRPr="009B291F">
        <w:rPr>
          <w:rFonts w:cs="Arial" w:eastAsiaTheme="minorHAnsi"/>
          <w:sz w:val="22"/>
          <w:szCs w:val="22"/>
        </w:rPr>
        <w:t>).</w:t>
      </w:r>
    </w:p>
    <w:p w:rsidRPr="009B291F" w:rsidR="009B291F" w:rsidP="009B291F" w:rsidRDefault="009B291F" w14:paraId="1405CB6C" w14:textId="77777777">
      <w:pPr>
        <w:pStyle w:val="ListParagraph"/>
        <w:numPr>
          <w:ilvl w:val="0"/>
          <w:numId w:val="22"/>
        </w:numPr>
        <w:spacing w:after="160" w:line="259" w:lineRule="auto"/>
        <w:rPr>
          <w:rFonts w:cs="Arial" w:eastAsiaTheme="minorHAnsi"/>
          <w:color w:val="00B050"/>
          <w:sz w:val="22"/>
          <w:szCs w:val="22"/>
        </w:rPr>
      </w:pPr>
      <w:r w:rsidRPr="009B291F">
        <w:rPr>
          <w:rFonts w:cs="Arial" w:eastAsiaTheme="minorHAnsi"/>
          <w:sz w:val="22"/>
          <w:szCs w:val="22"/>
        </w:rPr>
        <w:lastRenderedPageBreak/>
        <w:t>An Annual Review following the end of the year describing the activity compared to the Strategy. (This is planned for May 2024).</w:t>
      </w:r>
    </w:p>
    <w:p w:rsidRPr="000F2D21" w:rsidR="000F2D21" w:rsidP="000F2D21" w:rsidRDefault="000F2D21" w14:paraId="5FB54B3B" w14:textId="77777777">
      <w:pPr>
        <w:jc w:val="both"/>
        <w:rPr>
          <w:rFonts w:eastAsia="Arial"/>
          <w:spacing w:val="0"/>
          <w:sz w:val="22"/>
          <w:szCs w:val="22"/>
        </w:rPr>
      </w:pPr>
    </w:p>
    <w:p w:rsidRPr="000F2D21" w:rsidR="000F2D21" w:rsidP="000F2D21" w:rsidRDefault="000F2D21" w14:paraId="4913F811" w14:textId="77777777">
      <w:pPr>
        <w:jc w:val="both"/>
        <w:rPr>
          <w:rFonts w:eastAsia="Arial"/>
          <w:b/>
          <w:spacing w:val="0"/>
          <w:sz w:val="26"/>
        </w:rPr>
      </w:pPr>
      <w:r w:rsidRPr="000F2D21">
        <w:rPr>
          <w:rFonts w:eastAsia="Arial"/>
          <w:b/>
          <w:spacing w:val="0"/>
          <w:sz w:val="26"/>
        </w:rPr>
        <w:t>F.</w:t>
      </w:r>
      <w:r w:rsidRPr="000F2D21">
        <w:rPr>
          <w:rFonts w:eastAsia="Arial"/>
          <w:b/>
          <w:spacing w:val="0"/>
          <w:sz w:val="26"/>
        </w:rPr>
        <w:tab/>
        <w:t>RISK MANAGEMENT</w:t>
      </w:r>
    </w:p>
    <w:p w:rsidRPr="000F2D21" w:rsidR="000F2D21" w:rsidP="000F2D21" w:rsidRDefault="000F2D21" w14:paraId="1E2071A7" w14:textId="77777777">
      <w:pPr>
        <w:jc w:val="both"/>
        <w:rPr>
          <w:rFonts w:eastAsia="Arial"/>
          <w:spacing w:val="0"/>
          <w:sz w:val="22"/>
          <w:szCs w:val="22"/>
        </w:rPr>
      </w:pPr>
    </w:p>
    <w:p w:rsidRPr="000F2D21" w:rsidR="000F2D21" w:rsidP="00C32AB1" w:rsidRDefault="000F2D21" w14:paraId="76E32619" w14:textId="77777777">
      <w:pPr>
        <w:ind w:firstLine="720"/>
        <w:rPr>
          <w:rFonts w:eastAsia="Arial"/>
          <w:spacing w:val="0"/>
          <w:sz w:val="22"/>
          <w:szCs w:val="22"/>
        </w:rPr>
      </w:pPr>
      <w:r w:rsidRPr="000F2D21">
        <w:rPr>
          <w:rFonts w:eastAsia="Arial"/>
          <w:spacing w:val="0"/>
          <w:sz w:val="22"/>
          <w:szCs w:val="22"/>
        </w:rPr>
        <w:t>The management of risk is an integral part of the code of governance and the</w:t>
      </w:r>
    </w:p>
    <w:p w:rsidRPr="000F2D21" w:rsidR="000F2D21" w:rsidP="00C32AB1" w:rsidRDefault="000F2D21" w14:paraId="03397CA8" w14:textId="47986754">
      <w:pPr>
        <w:ind w:left="720"/>
        <w:rPr>
          <w:rFonts w:eastAsia="Arial"/>
          <w:spacing w:val="0"/>
          <w:sz w:val="22"/>
          <w:szCs w:val="22"/>
        </w:rPr>
      </w:pPr>
      <w:r w:rsidRPr="000F2D21">
        <w:rPr>
          <w:rFonts w:eastAsia="Arial"/>
          <w:spacing w:val="0"/>
          <w:sz w:val="22"/>
          <w:szCs w:val="22"/>
        </w:rPr>
        <w:t xml:space="preserve">annual governance statement. The TM </w:t>
      </w:r>
      <w:r w:rsidR="00C32AB1">
        <w:rPr>
          <w:rFonts w:eastAsia="Arial"/>
          <w:spacing w:val="0"/>
          <w:sz w:val="22"/>
          <w:szCs w:val="22"/>
        </w:rPr>
        <w:t>mid-year</w:t>
      </w:r>
      <w:r>
        <w:rPr>
          <w:rFonts w:eastAsia="Arial"/>
          <w:spacing w:val="0"/>
          <w:sz w:val="22"/>
          <w:szCs w:val="22"/>
        </w:rPr>
        <w:t xml:space="preserve"> review</w:t>
      </w:r>
      <w:r w:rsidRPr="000F2D21">
        <w:rPr>
          <w:rFonts w:eastAsia="Arial"/>
          <w:spacing w:val="0"/>
          <w:sz w:val="22"/>
          <w:szCs w:val="22"/>
        </w:rPr>
        <w:t xml:space="preserve"> is a key </w:t>
      </w:r>
      <w:r>
        <w:rPr>
          <w:rFonts w:eastAsia="Arial"/>
          <w:spacing w:val="0"/>
          <w:sz w:val="22"/>
          <w:szCs w:val="22"/>
        </w:rPr>
        <w:t>review</w:t>
      </w:r>
      <w:r w:rsidRPr="000F2D21">
        <w:rPr>
          <w:rFonts w:eastAsia="Arial"/>
          <w:spacing w:val="0"/>
          <w:sz w:val="22"/>
          <w:szCs w:val="22"/>
        </w:rPr>
        <w:t xml:space="preserve"> document in the governance framework.</w:t>
      </w:r>
    </w:p>
    <w:p w:rsidRPr="000F2D21" w:rsidR="000F2D21" w:rsidP="000F2D21" w:rsidRDefault="000F2D21" w14:paraId="7FFA320D" w14:textId="77777777">
      <w:pPr>
        <w:ind w:firstLine="720"/>
        <w:jc w:val="both"/>
        <w:rPr>
          <w:rFonts w:eastAsia="Arial"/>
          <w:spacing w:val="0"/>
          <w:sz w:val="22"/>
          <w:szCs w:val="22"/>
        </w:rPr>
      </w:pPr>
    </w:p>
    <w:p w:rsidRPr="000F2D21" w:rsidR="000F2D21" w:rsidP="000F2D21" w:rsidRDefault="000F2D21" w14:paraId="3C5F2039" w14:textId="77777777">
      <w:pPr>
        <w:jc w:val="both"/>
        <w:rPr>
          <w:rFonts w:eastAsia="Arial"/>
          <w:b/>
          <w:spacing w:val="0"/>
          <w:sz w:val="24"/>
          <w:szCs w:val="24"/>
        </w:rPr>
      </w:pPr>
      <w:r w:rsidRPr="000F2D21">
        <w:rPr>
          <w:rFonts w:eastAsia="Arial"/>
          <w:b/>
          <w:spacing w:val="0"/>
          <w:sz w:val="24"/>
          <w:szCs w:val="24"/>
        </w:rPr>
        <w:t>G.</w:t>
      </w:r>
      <w:r w:rsidRPr="000F2D21">
        <w:rPr>
          <w:rFonts w:eastAsia="Arial"/>
          <w:b/>
          <w:spacing w:val="0"/>
          <w:sz w:val="24"/>
          <w:szCs w:val="24"/>
        </w:rPr>
        <w:tab/>
      </w:r>
      <w:r w:rsidRPr="000F2D21">
        <w:rPr>
          <w:rFonts w:eastAsia="Arial"/>
          <w:b/>
          <w:spacing w:val="0"/>
          <w:sz w:val="26"/>
          <w:szCs w:val="26"/>
        </w:rPr>
        <w:t>PUBLIC ACCESS TO INFORMATION</w:t>
      </w:r>
    </w:p>
    <w:p w:rsidRPr="000F2D21" w:rsidR="000F2D21" w:rsidP="000F2D21" w:rsidRDefault="000F2D21" w14:paraId="2863FC28" w14:textId="77777777">
      <w:pPr>
        <w:jc w:val="both"/>
        <w:rPr>
          <w:rFonts w:eastAsia="Arial"/>
          <w:spacing w:val="0"/>
          <w:sz w:val="22"/>
          <w:szCs w:val="22"/>
        </w:rPr>
      </w:pPr>
    </w:p>
    <w:p w:rsidR="000F2D21" w:rsidP="000F2D21" w:rsidRDefault="000F2D21" w14:paraId="1ECD4F05" w14:textId="73253E59">
      <w:pPr>
        <w:ind w:left="720"/>
        <w:jc w:val="both"/>
        <w:rPr>
          <w:rFonts w:eastAsia="Arial"/>
          <w:spacing w:val="0"/>
          <w:sz w:val="22"/>
          <w:szCs w:val="22"/>
        </w:rPr>
      </w:pPr>
      <w:r w:rsidRPr="000F2D21">
        <w:rPr>
          <w:rFonts w:eastAsia="Arial"/>
          <w:spacing w:val="0"/>
          <w:sz w:val="22"/>
          <w:szCs w:val="22"/>
        </w:rPr>
        <w:t>Information in this report along with any supporting material is subject to the Freedom of Information Act 2000 and other legislation.</w:t>
      </w:r>
    </w:p>
    <w:bookmarkEnd w:id="1"/>
    <w:p w:rsidR="00332136" w:rsidP="000F2D21" w:rsidRDefault="00332136" w14:paraId="76D5CD8C" w14:textId="033B5F63">
      <w:pPr>
        <w:ind w:left="720"/>
        <w:jc w:val="both"/>
        <w:rPr>
          <w:rFonts w:eastAsia="Arial"/>
          <w:spacing w:val="0"/>
          <w:sz w:val="22"/>
          <w:szCs w:val="22"/>
        </w:rPr>
      </w:pPr>
    </w:p>
    <w:p w:rsidR="00332136" w:rsidP="000F2D21" w:rsidRDefault="00332136" w14:paraId="17C6FF42" w14:textId="52300392">
      <w:pPr>
        <w:ind w:left="720"/>
        <w:jc w:val="both"/>
        <w:rPr>
          <w:rFonts w:eastAsia="Arial"/>
          <w:spacing w:val="0"/>
          <w:sz w:val="22"/>
          <w:szCs w:val="22"/>
        </w:rPr>
      </w:pPr>
    </w:p>
    <w:p w:rsidR="002422DC" w:rsidP="000F2D21" w:rsidRDefault="002422DC" w14:paraId="1705DA20" w14:textId="568DBF30">
      <w:pPr>
        <w:ind w:left="720"/>
        <w:jc w:val="both"/>
        <w:rPr>
          <w:rFonts w:eastAsia="Arial"/>
          <w:spacing w:val="0"/>
          <w:sz w:val="22"/>
          <w:szCs w:val="22"/>
        </w:rPr>
      </w:pPr>
    </w:p>
    <w:p w:rsidR="002422DC" w:rsidP="000F2D21" w:rsidRDefault="002422DC" w14:paraId="16EC6BCF" w14:textId="06F08FBD">
      <w:pPr>
        <w:ind w:left="720"/>
        <w:jc w:val="both"/>
        <w:rPr>
          <w:rFonts w:eastAsia="Arial"/>
          <w:spacing w:val="0"/>
          <w:sz w:val="22"/>
          <w:szCs w:val="22"/>
        </w:rPr>
      </w:pPr>
    </w:p>
    <w:p w:rsidR="002422DC" w:rsidP="000F2D21" w:rsidRDefault="002422DC" w14:paraId="55C6E73A" w14:textId="4AA1844C">
      <w:pPr>
        <w:ind w:left="720"/>
        <w:jc w:val="both"/>
        <w:rPr>
          <w:rFonts w:eastAsia="Arial"/>
          <w:spacing w:val="0"/>
          <w:sz w:val="22"/>
          <w:szCs w:val="22"/>
        </w:rPr>
      </w:pPr>
    </w:p>
    <w:p w:rsidR="002422DC" w:rsidP="000F2D21" w:rsidRDefault="002422DC" w14:paraId="315D247D" w14:textId="5D4D90D2">
      <w:pPr>
        <w:ind w:left="720"/>
        <w:jc w:val="both"/>
        <w:rPr>
          <w:rFonts w:eastAsia="Arial"/>
          <w:spacing w:val="0"/>
          <w:sz w:val="22"/>
          <w:szCs w:val="22"/>
        </w:rPr>
      </w:pPr>
    </w:p>
    <w:p w:rsidR="002422DC" w:rsidP="000F2D21" w:rsidRDefault="002422DC" w14:paraId="03B9B816" w14:textId="06D7D7C5">
      <w:pPr>
        <w:ind w:left="720"/>
        <w:jc w:val="both"/>
        <w:rPr>
          <w:rFonts w:eastAsia="Arial"/>
          <w:spacing w:val="0"/>
          <w:sz w:val="22"/>
          <w:szCs w:val="22"/>
        </w:rPr>
      </w:pPr>
    </w:p>
    <w:p w:rsidR="002422DC" w:rsidP="000F2D21" w:rsidRDefault="002422DC" w14:paraId="217D67C0" w14:textId="6301F9A7">
      <w:pPr>
        <w:ind w:left="720"/>
        <w:jc w:val="both"/>
        <w:rPr>
          <w:rFonts w:eastAsia="Arial"/>
          <w:spacing w:val="0"/>
          <w:sz w:val="22"/>
          <w:szCs w:val="22"/>
        </w:rPr>
      </w:pPr>
    </w:p>
    <w:p w:rsidR="002422DC" w:rsidP="000F2D21" w:rsidRDefault="002422DC" w14:paraId="5DD371C1" w14:textId="13BFDD25">
      <w:pPr>
        <w:ind w:left="720"/>
        <w:jc w:val="both"/>
        <w:rPr>
          <w:rFonts w:eastAsia="Arial"/>
          <w:spacing w:val="0"/>
          <w:sz w:val="22"/>
          <w:szCs w:val="22"/>
        </w:rPr>
      </w:pPr>
    </w:p>
    <w:p w:rsidR="002422DC" w:rsidP="000F2D21" w:rsidRDefault="002422DC" w14:paraId="42939AB9" w14:textId="33A39395">
      <w:pPr>
        <w:ind w:left="720"/>
        <w:jc w:val="both"/>
        <w:rPr>
          <w:rFonts w:eastAsia="Arial"/>
          <w:spacing w:val="0"/>
          <w:sz w:val="22"/>
          <w:szCs w:val="22"/>
        </w:rPr>
      </w:pPr>
    </w:p>
    <w:p w:rsidR="002422DC" w:rsidP="000F2D21" w:rsidRDefault="002422DC" w14:paraId="256195F2" w14:textId="2BC21E16">
      <w:pPr>
        <w:ind w:left="720"/>
        <w:jc w:val="both"/>
        <w:rPr>
          <w:rFonts w:eastAsia="Arial"/>
          <w:spacing w:val="0"/>
          <w:sz w:val="22"/>
          <w:szCs w:val="22"/>
        </w:rPr>
      </w:pPr>
    </w:p>
    <w:p w:rsidR="002422DC" w:rsidP="000F2D21" w:rsidRDefault="002422DC" w14:paraId="5108FC2C" w14:textId="60BEF714">
      <w:pPr>
        <w:ind w:left="720"/>
        <w:jc w:val="both"/>
        <w:rPr>
          <w:rFonts w:eastAsia="Arial"/>
          <w:spacing w:val="0"/>
          <w:sz w:val="22"/>
          <w:szCs w:val="22"/>
        </w:rPr>
      </w:pPr>
    </w:p>
    <w:p w:rsidR="002422DC" w:rsidP="000F2D21" w:rsidRDefault="002422DC" w14:paraId="1919A4F7" w14:textId="07DA6463">
      <w:pPr>
        <w:ind w:left="720"/>
        <w:jc w:val="both"/>
        <w:rPr>
          <w:rFonts w:eastAsia="Arial"/>
          <w:spacing w:val="0"/>
          <w:sz w:val="22"/>
          <w:szCs w:val="22"/>
        </w:rPr>
      </w:pPr>
    </w:p>
    <w:p w:rsidR="002422DC" w:rsidP="000F2D21" w:rsidRDefault="002422DC" w14:paraId="6049D678" w14:textId="0BB5B5C1">
      <w:pPr>
        <w:ind w:left="720"/>
        <w:jc w:val="both"/>
        <w:rPr>
          <w:rFonts w:eastAsia="Arial"/>
          <w:spacing w:val="0"/>
          <w:sz w:val="22"/>
          <w:szCs w:val="22"/>
        </w:rPr>
      </w:pPr>
    </w:p>
    <w:p w:rsidR="002422DC" w:rsidP="000F2D21" w:rsidRDefault="002422DC" w14:paraId="550A5FC4" w14:textId="0A08B3F4">
      <w:pPr>
        <w:ind w:left="720"/>
        <w:jc w:val="both"/>
        <w:rPr>
          <w:rFonts w:eastAsia="Arial"/>
          <w:spacing w:val="0"/>
          <w:sz w:val="22"/>
          <w:szCs w:val="22"/>
        </w:rPr>
      </w:pPr>
    </w:p>
    <w:p w:rsidR="002422DC" w:rsidP="000F2D21" w:rsidRDefault="002422DC" w14:paraId="0AEC51A4" w14:textId="2704A452">
      <w:pPr>
        <w:ind w:left="720"/>
        <w:jc w:val="both"/>
        <w:rPr>
          <w:rFonts w:eastAsia="Arial"/>
          <w:spacing w:val="0"/>
          <w:sz w:val="22"/>
          <w:szCs w:val="22"/>
        </w:rPr>
      </w:pPr>
    </w:p>
    <w:p w:rsidR="002422DC" w:rsidP="000F2D21" w:rsidRDefault="002422DC" w14:paraId="7820A9EA" w14:textId="182364D4">
      <w:pPr>
        <w:ind w:left="720"/>
        <w:jc w:val="both"/>
        <w:rPr>
          <w:rFonts w:eastAsia="Arial"/>
          <w:spacing w:val="0"/>
          <w:sz w:val="22"/>
          <w:szCs w:val="22"/>
        </w:rPr>
      </w:pPr>
    </w:p>
    <w:p w:rsidR="002422DC" w:rsidP="000F2D21" w:rsidRDefault="002422DC" w14:paraId="20DFE55F" w14:textId="486F2482">
      <w:pPr>
        <w:ind w:left="720"/>
        <w:jc w:val="both"/>
        <w:rPr>
          <w:rFonts w:eastAsia="Arial"/>
          <w:spacing w:val="0"/>
          <w:sz w:val="22"/>
          <w:szCs w:val="22"/>
        </w:rPr>
      </w:pPr>
    </w:p>
    <w:p w:rsidR="002422DC" w:rsidP="000F2D21" w:rsidRDefault="002422DC" w14:paraId="6AD87580" w14:textId="0D20AD62">
      <w:pPr>
        <w:ind w:left="720"/>
        <w:jc w:val="both"/>
        <w:rPr>
          <w:rFonts w:eastAsia="Arial"/>
          <w:spacing w:val="0"/>
          <w:sz w:val="22"/>
          <w:szCs w:val="22"/>
        </w:rPr>
      </w:pPr>
    </w:p>
    <w:p w:rsidR="002422DC" w:rsidP="000F2D21" w:rsidRDefault="002422DC" w14:paraId="39A84213" w14:textId="06FB9298">
      <w:pPr>
        <w:ind w:left="720"/>
        <w:jc w:val="both"/>
        <w:rPr>
          <w:rFonts w:eastAsia="Arial"/>
          <w:spacing w:val="0"/>
          <w:sz w:val="22"/>
          <w:szCs w:val="22"/>
        </w:rPr>
      </w:pPr>
    </w:p>
    <w:p w:rsidR="002422DC" w:rsidP="000F2D21" w:rsidRDefault="002422DC" w14:paraId="7C3393D4" w14:textId="61BB1836">
      <w:pPr>
        <w:ind w:left="720"/>
        <w:jc w:val="both"/>
        <w:rPr>
          <w:rFonts w:eastAsia="Arial"/>
          <w:spacing w:val="0"/>
          <w:sz w:val="22"/>
          <w:szCs w:val="22"/>
        </w:rPr>
      </w:pPr>
    </w:p>
    <w:p w:rsidR="002422DC" w:rsidP="000F2D21" w:rsidRDefault="002422DC" w14:paraId="619CB48B" w14:textId="53C72C09">
      <w:pPr>
        <w:ind w:left="720"/>
        <w:jc w:val="both"/>
        <w:rPr>
          <w:rFonts w:eastAsia="Arial"/>
          <w:spacing w:val="0"/>
          <w:sz w:val="22"/>
          <w:szCs w:val="22"/>
        </w:rPr>
      </w:pPr>
    </w:p>
    <w:p w:rsidR="002422DC" w:rsidP="000F2D21" w:rsidRDefault="002422DC" w14:paraId="1AF1328F" w14:textId="322D50E5">
      <w:pPr>
        <w:ind w:left="720"/>
        <w:jc w:val="both"/>
        <w:rPr>
          <w:rFonts w:eastAsia="Arial"/>
          <w:spacing w:val="0"/>
          <w:sz w:val="22"/>
          <w:szCs w:val="22"/>
        </w:rPr>
      </w:pPr>
    </w:p>
    <w:p w:rsidR="002422DC" w:rsidP="000F2D21" w:rsidRDefault="002422DC" w14:paraId="0F853CD5" w14:textId="057B707A">
      <w:pPr>
        <w:ind w:left="720"/>
        <w:jc w:val="both"/>
        <w:rPr>
          <w:rFonts w:eastAsia="Arial"/>
          <w:spacing w:val="0"/>
          <w:sz w:val="22"/>
          <w:szCs w:val="22"/>
        </w:rPr>
      </w:pPr>
    </w:p>
    <w:p w:rsidR="002422DC" w:rsidP="000F2D21" w:rsidRDefault="002422DC" w14:paraId="6B96BB87" w14:textId="10A527A0">
      <w:pPr>
        <w:ind w:left="720"/>
        <w:jc w:val="both"/>
        <w:rPr>
          <w:rFonts w:eastAsia="Arial"/>
          <w:spacing w:val="0"/>
          <w:sz w:val="22"/>
          <w:szCs w:val="22"/>
        </w:rPr>
      </w:pPr>
    </w:p>
    <w:p w:rsidR="002422DC" w:rsidP="000F2D21" w:rsidRDefault="002422DC" w14:paraId="2AEDE916" w14:textId="0413C12B">
      <w:pPr>
        <w:ind w:left="720"/>
        <w:jc w:val="both"/>
        <w:rPr>
          <w:rFonts w:eastAsia="Arial"/>
          <w:spacing w:val="0"/>
          <w:sz w:val="22"/>
          <w:szCs w:val="22"/>
        </w:rPr>
      </w:pPr>
    </w:p>
    <w:p w:rsidR="002422DC" w:rsidP="000F2D21" w:rsidRDefault="002422DC" w14:paraId="04E64FBD" w14:textId="128DB338">
      <w:pPr>
        <w:ind w:left="720"/>
        <w:jc w:val="both"/>
        <w:rPr>
          <w:rFonts w:eastAsia="Arial"/>
          <w:spacing w:val="0"/>
          <w:sz w:val="22"/>
          <w:szCs w:val="22"/>
        </w:rPr>
      </w:pPr>
    </w:p>
    <w:p w:rsidR="002422DC" w:rsidP="000F2D21" w:rsidRDefault="002422DC" w14:paraId="61212F9A" w14:textId="512C12FE">
      <w:pPr>
        <w:ind w:left="720"/>
        <w:jc w:val="both"/>
        <w:rPr>
          <w:rFonts w:eastAsia="Arial"/>
          <w:spacing w:val="0"/>
          <w:sz w:val="22"/>
          <w:szCs w:val="22"/>
        </w:rPr>
      </w:pPr>
    </w:p>
    <w:p w:rsidR="002422DC" w:rsidP="000F2D21" w:rsidRDefault="002422DC" w14:paraId="22E17144" w14:textId="3DC3131F">
      <w:pPr>
        <w:ind w:left="720"/>
        <w:jc w:val="both"/>
        <w:rPr>
          <w:rFonts w:eastAsia="Arial"/>
          <w:spacing w:val="0"/>
          <w:sz w:val="22"/>
          <w:szCs w:val="22"/>
        </w:rPr>
      </w:pPr>
    </w:p>
    <w:p w:rsidR="002422DC" w:rsidP="000F2D21" w:rsidRDefault="002422DC" w14:paraId="7FC168CB" w14:textId="39DE4076">
      <w:pPr>
        <w:ind w:left="720"/>
        <w:jc w:val="both"/>
        <w:rPr>
          <w:rFonts w:eastAsia="Arial"/>
          <w:spacing w:val="0"/>
          <w:sz w:val="22"/>
          <w:szCs w:val="22"/>
        </w:rPr>
      </w:pPr>
    </w:p>
    <w:p w:rsidR="002422DC" w:rsidP="000F2D21" w:rsidRDefault="002422DC" w14:paraId="1E5BCD81" w14:textId="42E79126">
      <w:pPr>
        <w:ind w:left="720"/>
        <w:jc w:val="both"/>
        <w:rPr>
          <w:rFonts w:eastAsia="Arial"/>
          <w:spacing w:val="0"/>
          <w:sz w:val="22"/>
          <w:szCs w:val="22"/>
        </w:rPr>
      </w:pPr>
    </w:p>
    <w:p w:rsidR="002422DC" w:rsidP="000F2D21" w:rsidRDefault="002422DC" w14:paraId="48B83CFD" w14:textId="5F089C1C">
      <w:pPr>
        <w:ind w:left="720"/>
        <w:jc w:val="both"/>
        <w:rPr>
          <w:rFonts w:eastAsia="Arial"/>
          <w:spacing w:val="0"/>
          <w:sz w:val="22"/>
          <w:szCs w:val="22"/>
        </w:rPr>
      </w:pPr>
    </w:p>
    <w:p w:rsidR="002422DC" w:rsidP="000F2D21" w:rsidRDefault="002422DC" w14:paraId="6859D515" w14:textId="59506A95">
      <w:pPr>
        <w:ind w:left="720"/>
        <w:jc w:val="both"/>
        <w:rPr>
          <w:rFonts w:eastAsia="Arial"/>
          <w:spacing w:val="0"/>
          <w:sz w:val="22"/>
          <w:szCs w:val="22"/>
        </w:rPr>
      </w:pPr>
    </w:p>
    <w:p w:rsidR="002422DC" w:rsidP="000F2D21" w:rsidRDefault="002422DC" w14:paraId="7D15BBCE" w14:textId="45D2BA55">
      <w:pPr>
        <w:ind w:left="720"/>
        <w:jc w:val="both"/>
        <w:rPr>
          <w:rFonts w:eastAsia="Arial"/>
          <w:spacing w:val="0"/>
          <w:sz w:val="22"/>
          <w:szCs w:val="22"/>
        </w:rPr>
      </w:pPr>
    </w:p>
    <w:p w:rsidR="002422DC" w:rsidP="000F2D21" w:rsidRDefault="002422DC" w14:paraId="40432951" w14:textId="6B94EB7B">
      <w:pPr>
        <w:ind w:left="720"/>
        <w:jc w:val="both"/>
        <w:rPr>
          <w:rFonts w:eastAsia="Arial"/>
          <w:spacing w:val="0"/>
          <w:sz w:val="22"/>
          <w:szCs w:val="22"/>
        </w:rPr>
      </w:pPr>
    </w:p>
    <w:p w:rsidR="002422DC" w:rsidP="000F2D21" w:rsidRDefault="002422DC" w14:paraId="4B1AAC78" w14:textId="595748E4">
      <w:pPr>
        <w:ind w:left="720"/>
        <w:jc w:val="both"/>
        <w:rPr>
          <w:rFonts w:eastAsia="Arial"/>
          <w:spacing w:val="0"/>
          <w:sz w:val="22"/>
          <w:szCs w:val="22"/>
        </w:rPr>
      </w:pPr>
    </w:p>
    <w:p w:rsidR="002422DC" w:rsidP="000F2D21" w:rsidRDefault="002422DC" w14:paraId="04942FBE" w14:textId="43F8487E">
      <w:pPr>
        <w:ind w:left="720"/>
        <w:jc w:val="both"/>
        <w:rPr>
          <w:rFonts w:eastAsia="Arial"/>
          <w:spacing w:val="0"/>
          <w:sz w:val="22"/>
          <w:szCs w:val="22"/>
        </w:rPr>
      </w:pPr>
    </w:p>
    <w:p w:rsidR="002422DC" w:rsidP="000F2D21" w:rsidRDefault="002422DC" w14:paraId="2701D3A8" w14:textId="0C218B42">
      <w:pPr>
        <w:ind w:left="720"/>
        <w:jc w:val="both"/>
        <w:rPr>
          <w:rFonts w:eastAsia="Arial"/>
          <w:spacing w:val="0"/>
          <w:sz w:val="22"/>
          <w:szCs w:val="22"/>
        </w:rPr>
      </w:pPr>
    </w:p>
    <w:p w:rsidR="002422DC" w:rsidP="000F2D21" w:rsidRDefault="002422DC" w14:paraId="7DE8116E" w14:textId="4AF19A7A">
      <w:pPr>
        <w:ind w:left="720"/>
        <w:jc w:val="both"/>
        <w:rPr>
          <w:rFonts w:eastAsia="Arial"/>
          <w:spacing w:val="0"/>
          <w:sz w:val="22"/>
          <w:szCs w:val="22"/>
        </w:rPr>
      </w:pPr>
    </w:p>
    <w:p w:rsidR="002422DC" w:rsidP="002422DC" w:rsidRDefault="002422DC" w14:paraId="685708AE" w14:textId="77777777">
      <w:pPr>
        <w:jc w:val="both"/>
        <w:rPr>
          <w:rFonts w:eastAsia="Arial"/>
          <w:spacing w:val="0"/>
          <w:sz w:val="22"/>
          <w:szCs w:val="22"/>
        </w:rPr>
      </w:pPr>
    </w:p>
    <w:p w:rsidRPr="001D4AC6" w:rsidR="002422DC" w:rsidP="002422DC" w:rsidRDefault="002422DC" w14:paraId="74320697" w14:textId="444A1010">
      <w:pPr>
        <w:jc w:val="both"/>
        <w:rPr>
          <w:rFonts w:eastAsia="Arial"/>
          <w:b/>
          <w:bCs/>
          <w:spacing w:val="0"/>
          <w:sz w:val="24"/>
          <w:szCs w:val="24"/>
          <w:u w:val="single"/>
        </w:rPr>
      </w:pPr>
      <w:r w:rsidRPr="001D4AC6">
        <w:rPr>
          <w:rFonts w:eastAsia="Arial"/>
          <w:b/>
          <w:bCs/>
          <w:spacing w:val="0"/>
          <w:sz w:val="24"/>
          <w:szCs w:val="24"/>
          <w:u w:val="single"/>
        </w:rPr>
        <w:lastRenderedPageBreak/>
        <w:t>Appendix 1</w:t>
      </w:r>
    </w:p>
    <w:p w:rsidR="002422DC" w:rsidP="000F2D21" w:rsidRDefault="002422DC" w14:paraId="7A4B3AD9" w14:textId="331D8D25">
      <w:pPr>
        <w:ind w:left="720"/>
        <w:jc w:val="both"/>
        <w:rPr>
          <w:rFonts w:eastAsia="Arial"/>
          <w:spacing w:val="0"/>
          <w:sz w:val="22"/>
          <w:szCs w:val="22"/>
        </w:rPr>
      </w:pPr>
    </w:p>
    <w:p w:rsidR="002422DC" w:rsidP="002422DC" w:rsidRDefault="002422DC" w14:paraId="230E6CAE" w14:textId="77777777"/>
    <w:tbl>
      <w:tblPr>
        <w:tblW w:w="966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2417"/>
        <w:gridCol w:w="7251"/>
      </w:tblGrid>
      <w:tr w:rsidRPr="0010295E" w:rsidR="002422DC" w:rsidTr="0030311C" w14:paraId="254D91FC" w14:textId="77777777">
        <w:trPr>
          <w:trHeight w:val="271"/>
        </w:trPr>
        <w:tc>
          <w:tcPr>
            <w:tcW w:w="2417" w:type="dxa"/>
            <w:shd w:val="clear" w:color="auto" w:fill="auto"/>
          </w:tcPr>
          <w:p w:rsidRPr="0010295E" w:rsidR="002422DC" w:rsidP="0030311C" w:rsidRDefault="002422DC" w14:paraId="7B6C2035" w14:textId="77777777">
            <w:pPr>
              <w:pStyle w:val="NoSpacing"/>
              <w:jc w:val="both"/>
              <w:rPr>
                <w:rFonts w:ascii="Arial" w:hAnsi="Arial" w:cs="Arial"/>
                <w:b/>
                <w:sz w:val="24"/>
                <w:szCs w:val="24"/>
              </w:rPr>
            </w:pPr>
            <w:r w:rsidRPr="0010295E">
              <w:rPr>
                <w:rFonts w:ascii="Arial" w:hAnsi="Arial" w:cs="Arial"/>
                <w:b/>
                <w:sz w:val="24"/>
                <w:szCs w:val="24"/>
              </w:rPr>
              <w:t>Public/Non-Public*</w:t>
            </w:r>
          </w:p>
        </w:tc>
        <w:tc>
          <w:tcPr>
            <w:tcW w:w="7251" w:type="dxa"/>
            <w:shd w:val="clear" w:color="auto" w:fill="auto"/>
          </w:tcPr>
          <w:p w:rsidRPr="0010295E" w:rsidR="002422DC" w:rsidP="0030311C" w:rsidRDefault="002422DC" w14:paraId="7E1C78A7" w14:textId="77777777">
            <w:pPr>
              <w:pStyle w:val="NoSpacing"/>
              <w:jc w:val="both"/>
              <w:rPr>
                <w:rFonts w:ascii="Arial" w:hAnsi="Arial" w:cs="Arial"/>
                <w:b/>
                <w:sz w:val="24"/>
                <w:szCs w:val="24"/>
              </w:rPr>
            </w:pPr>
          </w:p>
        </w:tc>
      </w:tr>
      <w:tr w:rsidRPr="0010295E" w:rsidR="002422DC" w:rsidTr="0030311C" w14:paraId="519D14F8" w14:textId="77777777">
        <w:trPr>
          <w:trHeight w:val="410"/>
        </w:trPr>
        <w:tc>
          <w:tcPr>
            <w:tcW w:w="2417" w:type="dxa"/>
            <w:shd w:val="clear" w:color="auto" w:fill="auto"/>
          </w:tcPr>
          <w:p w:rsidRPr="00254A6C" w:rsidR="002422DC" w:rsidP="0030311C" w:rsidRDefault="002422DC" w14:paraId="2BE63901" w14:textId="77777777">
            <w:pPr>
              <w:pStyle w:val="NoSpacing"/>
              <w:jc w:val="both"/>
              <w:rPr>
                <w:rFonts w:ascii="Arial" w:hAnsi="Arial" w:cs="Arial"/>
                <w:b/>
                <w:sz w:val="24"/>
                <w:szCs w:val="24"/>
              </w:rPr>
            </w:pPr>
            <w:r w:rsidRPr="00254A6C">
              <w:rPr>
                <w:rFonts w:ascii="Arial" w:hAnsi="Arial" w:cs="Arial"/>
                <w:b/>
                <w:sz w:val="24"/>
                <w:szCs w:val="24"/>
              </w:rPr>
              <w:t>Report to:</w:t>
            </w:r>
          </w:p>
        </w:tc>
        <w:tc>
          <w:tcPr>
            <w:tcW w:w="7251" w:type="dxa"/>
            <w:shd w:val="clear" w:color="auto" w:fill="auto"/>
          </w:tcPr>
          <w:p w:rsidRPr="0010295E" w:rsidR="002422DC" w:rsidP="0030311C" w:rsidRDefault="002422DC" w14:paraId="3A25A7A4" w14:textId="77777777">
            <w:pPr>
              <w:pStyle w:val="NoSpacing"/>
              <w:outlineLvl w:val="0"/>
              <w:rPr>
                <w:rFonts w:ascii="Arial" w:hAnsi="Arial" w:cs="Arial"/>
                <w:b/>
                <w:sz w:val="24"/>
                <w:szCs w:val="24"/>
              </w:rPr>
            </w:pPr>
            <w:r>
              <w:rPr>
                <w:rFonts w:ascii="Arial" w:hAnsi="Arial" w:cs="Arial"/>
                <w:b/>
                <w:sz w:val="24"/>
                <w:szCs w:val="24"/>
              </w:rPr>
              <w:t>PCC</w:t>
            </w:r>
          </w:p>
        </w:tc>
      </w:tr>
      <w:tr w:rsidRPr="0010295E" w:rsidR="002422DC" w:rsidTr="0030311C" w14:paraId="35CCE45D" w14:textId="77777777">
        <w:trPr>
          <w:trHeight w:val="271"/>
        </w:trPr>
        <w:tc>
          <w:tcPr>
            <w:tcW w:w="2417" w:type="dxa"/>
            <w:shd w:val="clear" w:color="auto" w:fill="auto"/>
          </w:tcPr>
          <w:p w:rsidRPr="00254A6C" w:rsidR="002422DC" w:rsidP="0030311C" w:rsidRDefault="002422DC" w14:paraId="123A587F" w14:textId="77777777">
            <w:pPr>
              <w:pStyle w:val="NoSpacing"/>
              <w:jc w:val="both"/>
              <w:rPr>
                <w:rFonts w:ascii="Arial" w:hAnsi="Arial" w:cs="Arial"/>
                <w:b/>
                <w:sz w:val="24"/>
                <w:szCs w:val="24"/>
              </w:rPr>
            </w:pPr>
            <w:r w:rsidRPr="00254A6C">
              <w:rPr>
                <w:rFonts w:ascii="Arial" w:hAnsi="Arial" w:cs="Arial"/>
                <w:b/>
                <w:sz w:val="24"/>
                <w:szCs w:val="24"/>
              </w:rPr>
              <w:t>Date of Meeting:</w:t>
            </w:r>
          </w:p>
        </w:tc>
        <w:tc>
          <w:tcPr>
            <w:tcW w:w="7251" w:type="dxa"/>
            <w:shd w:val="clear" w:color="auto" w:fill="auto"/>
          </w:tcPr>
          <w:p w:rsidRPr="002E080A" w:rsidR="002422DC" w:rsidP="0030311C" w:rsidRDefault="002422DC" w14:paraId="6361B0EA" w14:textId="77777777">
            <w:pPr>
              <w:pStyle w:val="NoSpacing"/>
              <w:jc w:val="both"/>
              <w:rPr>
                <w:rFonts w:ascii="Arial" w:hAnsi="Arial" w:cs="Arial"/>
                <w:b/>
                <w:sz w:val="24"/>
                <w:szCs w:val="24"/>
                <w:highlight w:val="yellow"/>
              </w:rPr>
            </w:pPr>
            <w:r>
              <w:rPr>
                <w:rFonts w:ascii="Arial" w:hAnsi="Arial" w:cs="Arial"/>
                <w:b/>
                <w:sz w:val="24"/>
                <w:szCs w:val="24"/>
              </w:rPr>
              <w:t>13</w:t>
            </w:r>
            <w:r w:rsidRPr="00C74400">
              <w:rPr>
                <w:rFonts w:ascii="Arial" w:hAnsi="Arial" w:cs="Arial"/>
                <w:b/>
                <w:sz w:val="24"/>
                <w:szCs w:val="24"/>
                <w:vertAlign w:val="superscript"/>
              </w:rPr>
              <w:t>th</w:t>
            </w:r>
            <w:r>
              <w:rPr>
                <w:rFonts w:ascii="Arial" w:hAnsi="Arial" w:cs="Arial"/>
                <w:b/>
                <w:sz w:val="24"/>
                <w:szCs w:val="24"/>
              </w:rPr>
              <w:t xml:space="preserve"> November </w:t>
            </w:r>
            <w:r w:rsidRPr="00AE5071">
              <w:rPr>
                <w:rFonts w:ascii="Arial" w:hAnsi="Arial" w:cs="Arial"/>
                <w:b/>
                <w:sz w:val="24"/>
                <w:szCs w:val="24"/>
              </w:rPr>
              <w:t>202</w:t>
            </w:r>
            <w:r>
              <w:rPr>
                <w:rFonts w:ascii="Arial" w:hAnsi="Arial" w:cs="Arial"/>
                <w:b/>
                <w:sz w:val="24"/>
                <w:szCs w:val="24"/>
              </w:rPr>
              <w:t>3</w:t>
            </w:r>
          </w:p>
        </w:tc>
      </w:tr>
      <w:tr w:rsidRPr="0010295E" w:rsidR="002422DC" w:rsidTr="0030311C" w14:paraId="1DDDD398" w14:textId="77777777">
        <w:trPr>
          <w:trHeight w:val="271"/>
        </w:trPr>
        <w:tc>
          <w:tcPr>
            <w:tcW w:w="2417" w:type="dxa"/>
            <w:shd w:val="clear" w:color="auto" w:fill="auto"/>
          </w:tcPr>
          <w:p w:rsidRPr="0010295E" w:rsidR="002422DC" w:rsidP="0030311C" w:rsidRDefault="002422DC" w14:paraId="10619815" w14:textId="77777777">
            <w:pPr>
              <w:pStyle w:val="NoSpacing"/>
              <w:jc w:val="both"/>
              <w:rPr>
                <w:rFonts w:ascii="Arial" w:hAnsi="Arial" w:cs="Arial"/>
                <w:b/>
                <w:sz w:val="24"/>
                <w:szCs w:val="24"/>
              </w:rPr>
            </w:pPr>
            <w:r w:rsidRPr="0010295E">
              <w:rPr>
                <w:rFonts w:ascii="Arial" w:hAnsi="Arial" w:cs="Arial"/>
                <w:b/>
                <w:sz w:val="24"/>
                <w:szCs w:val="24"/>
              </w:rPr>
              <w:t>Report of:</w:t>
            </w:r>
          </w:p>
        </w:tc>
        <w:tc>
          <w:tcPr>
            <w:tcW w:w="7251" w:type="dxa"/>
            <w:shd w:val="clear" w:color="auto" w:fill="auto"/>
          </w:tcPr>
          <w:p w:rsidRPr="0010295E" w:rsidR="002422DC" w:rsidP="0030311C" w:rsidRDefault="002422DC" w14:paraId="0B141E5F" w14:textId="77777777">
            <w:pPr>
              <w:pStyle w:val="NoSpacing"/>
              <w:tabs>
                <w:tab w:val="left" w:pos="2700"/>
              </w:tabs>
              <w:jc w:val="both"/>
              <w:rPr>
                <w:rFonts w:ascii="Arial" w:hAnsi="Arial" w:cs="Arial"/>
                <w:b/>
                <w:sz w:val="24"/>
                <w:szCs w:val="24"/>
              </w:rPr>
            </w:pPr>
            <w:r>
              <w:rPr>
                <w:rFonts w:ascii="Arial" w:hAnsi="Arial" w:cs="Arial"/>
                <w:b/>
                <w:sz w:val="24"/>
                <w:szCs w:val="24"/>
              </w:rPr>
              <w:t>Mark Kimberley</w:t>
            </w:r>
          </w:p>
        </w:tc>
      </w:tr>
      <w:tr w:rsidRPr="0010295E" w:rsidR="002422DC" w:rsidTr="0030311C" w14:paraId="0CAD0B0E" w14:textId="77777777">
        <w:trPr>
          <w:trHeight w:val="271"/>
        </w:trPr>
        <w:tc>
          <w:tcPr>
            <w:tcW w:w="2417" w:type="dxa"/>
            <w:shd w:val="clear" w:color="auto" w:fill="auto"/>
          </w:tcPr>
          <w:p w:rsidRPr="0010295E" w:rsidR="002422DC" w:rsidP="0030311C" w:rsidRDefault="002422DC" w14:paraId="620B20B8" w14:textId="77777777">
            <w:pPr>
              <w:pStyle w:val="NoSpacing"/>
              <w:jc w:val="both"/>
              <w:rPr>
                <w:rFonts w:ascii="Arial" w:hAnsi="Arial" w:cs="Arial"/>
                <w:b/>
                <w:sz w:val="24"/>
                <w:szCs w:val="24"/>
              </w:rPr>
            </w:pPr>
            <w:r w:rsidRPr="0010295E">
              <w:rPr>
                <w:rFonts w:ascii="Arial" w:hAnsi="Arial" w:cs="Arial"/>
                <w:b/>
                <w:sz w:val="24"/>
                <w:szCs w:val="24"/>
              </w:rPr>
              <w:t>Report Author:</w:t>
            </w:r>
          </w:p>
        </w:tc>
        <w:tc>
          <w:tcPr>
            <w:tcW w:w="7251" w:type="dxa"/>
            <w:shd w:val="clear" w:color="auto" w:fill="auto"/>
          </w:tcPr>
          <w:p w:rsidRPr="0010295E" w:rsidR="002422DC" w:rsidP="0030311C" w:rsidRDefault="002422DC" w14:paraId="5FF31D04" w14:textId="77777777">
            <w:pPr>
              <w:pStyle w:val="NoSpacing"/>
              <w:jc w:val="both"/>
              <w:rPr>
                <w:rFonts w:ascii="Arial" w:hAnsi="Arial" w:cs="Arial"/>
                <w:b/>
                <w:sz w:val="24"/>
                <w:szCs w:val="24"/>
              </w:rPr>
            </w:pPr>
            <w:r>
              <w:rPr>
                <w:rFonts w:ascii="Arial" w:hAnsi="Arial" w:cs="Arial"/>
                <w:b/>
                <w:sz w:val="24"/>
                <w:szCs w:val="24"/>
              </w:rPr>
              <w:t>Alison Denny</w:t>
            </w:r>
          </w:p>
        </w:tc>
      </w:tr>
      <w:tr w:rsidRPr="0010295E" w:rsidR="002422DC" w:rsidTr="0030311C" w14:paraId="3A337903" w14:textId="77777777">
        <w:trPr>
          <w:trHeight w:val="271"/>
        </w:trPr>
        <w:tc>
          <w:tcPr>
            <w:tcW w:w="2417" w:type="dxa"/>
            <w:shd w:val="clear" w:color="auto" w:fill="auto"/>
          </w:tcPr>
          <w:p w:rsidRPr="0010295E" w:rsidR="002422DC" w:rsidP="0030311C" w:rsidRDefault="002422DC" w14:paraId="658DE170" w14:textId="77777777">
            <w:pPr>
              <w:pStyle w:val="NoSpacing"/>
              <w:jc w:val="both"/>
              <w:rPr>
                <w:rFonts w:ascii="Arial" w:hAnsi="Arial" w:cs="Arial"/>
                <w:b/>
                <w:sz w:val="24"/>
                <w:szCs w:val="24"/>
              </w:rPr>
            </w:pPr>
            <w:r w:rsidRPr="0010295E">
              <w:rPr>
                <w:rFonts w:ascii="Arial" w:hAnsi="Arial" w:cs="Arial"/>
                <w:b/>
                <w:sz w:val="24"/>
                <w:szCs w:val="24"/>
              </w:rPr>
              <w:t>E-mail:</w:t>
            </w:r>
          </w:p>
        </w:tc>
        <w:tc>
          <w:tcPr>
            <w:tcW w:w="7251" w:type="dxa"/>
            <w:shd w:val="clear" w:color="auto" w:fill="auto"/>
          </w:tcPr>
          <w:p w:rsidRPr="0010295E" w:rsidR="002422DC" w:rsidP="0030311C" w:rsidRDefault="002422DC" w14:paraId="0F0E7F39" w14:textId="77777777">
            <w:pPr>
              <w:pStyle w:val="NoSpacing"/>
              <w:jc w:val="both"/>
              <w:rPr>
                <w:rFonts w:ascii="Arial" w:hAnsi="Arial" w:cs="Arial"/>
                <w:b/>
                <w:sz w:val="24"/>
                <w:szCs w:val="24"/>
              </w:rPr>
            </w:pPr>
            <w:r>
              <w:rPr>
                <w:rFonts w:ascii="Arial" w:hAnsi="Arial" w:cs="Arial"/>
                <w:b/>
                <w:sz w:val="24"/>
                <w:szCs w:val="24"/>
              </w:rPr>
              <w:t>Mark.Kimberley1</w:t>
            </w:r>
            <w:r w:rsidRPr="0010295E">
              <w:rPr>
                <w:rFonts w:ascii="Arial" w:hAnsi="Arial" w:cs="Arial"/>
                <w:b/>
                <w:sz w:val="24"/>
                <w:szCs w:val="24"/>
              </w:rPr>
              <w:t>@</w:t>
            </w:r>
            <w:r>
              <w:rPr>
                <w:rFonts w:ascii="Arial" w:hAnsi="Arial" w:cs="Arial"/>
                <w:b/>
                <w:sz w:val="24"/>
                <w:szCs w:val="24"/>
              </w:rPr>
              <w:t>n</w:t>
            </w:r>
            <w:r w:rsidRPr="0010295E">
              <w:rPr>
                <w:rFonts w:ascii="Arial" w:hAnsi="Arial" w:cs="Arial"/>
                <w:b/>
                <w:sz w:val="24"/>
                <w:szCs w:val="24"/>
              </w:rPr>
              <w:t>ott</w:t>
            </w:r>
            <w:r>
              <w:rPr>
                <w:rFonts w:ascii="Arial" w:hAnsi="Arial" w:cs="Arial"/>
                <w:b/>
                <w:sz w:val="24"/>
                <w:szCs w:val="24"/>
              </w:rPr>
              <w:t>s.</w:t>
            </w:r>
            <w:r w:rsidRPr="0010295E">
              <w:rPr>
                <w:rFonts w:ascii="Arial" w:hAnsi="Arial" w:cs="Arial"/>
                <w:b/>
                <w:sz w:val="24"/>
                <w:szCs w:val="24"/>
              </w:rPr>
              <w:t>police.uk</w:t>
            </w:r>
          </w:p>
        </w:tc>
      </w:tr>
      <w:tr w:rsidRPr="0010295E" w:rsidR="002422DC" w:rsidTr="0030311C" w14:paraId="03A37A00" w14:textId="77777777">
        <w:trPr>
          <w:trHeight w:val="286"/>
        </w:trPr>
        <w:tc>
          <w:tcPr>
            <w:tcW w:w="2417" w:type="dxa"/>
            <w:shd w:val="clear" w:color="auto" w:fill="auto"/>
          </w:tcPr>
          <w:p w:rsidRPr="0010295E" w:rsidR="002422DC" w:rsidP="0030311C" w:rsidRDefault="002422DC" w14:paraId="63B6309E" w14:textId="77777777">
            <w:pPr>
              <w:pStyle w:val="NoSpacing"/>
              <w:jc w:val="both"/>
              <w:rPr>
                <w:rFonts w:ascii="Arial" w:hAnsi="Arial" w:cs="Arial"/>
                <w:b/>
                <w:sz w:val="24"/>
                <w:szCs w:val="24"/>
              </w:rPr>
            </w:pPr>
            <w:r w:rsidRPr="0010295E">
              <w:rPr>
                <w:rFonts w:ascii="Arial" w:hAnsi="Arial" w:cs="Arial"/>
                <w:b/>
                <w:sz w:val="24"/>
                <w:szCs w:val="24"/>
              </w:rPr>
              <w:t>Other Contacts:</w:t>
            </w:r>
          </w:p>
        </w:tc>
        <w:tc>
          <w:tcPr>
            <w:tcW w:w="7251" w:type="dxa"/>
            <w:shd w:val="clear" w:color="auto" w:fill="auto"/>
          </w:tcPr>
          <w:p w:rsidRPr="0010295E" w:rsidR="002422DC" w:rsidP="0030311C" w:rsidRDefault="002422DC" w14:paraId="5F741701" w14:textId="77777777">
            <w:pPr>
              <w:pStyle w:val="NoSpacing"/>
              <w:jc w:val="both"/>
              <w:rPr>
                <w:rFonts w:ascii="Arial" w:hAnsi="Arial" w:cs="Arial"/>
                <w:b/>
                <w:sz w:val="24"/>
                <w:szCs w:val="24"/>
              </w:rPr>
            </w:pPr>
            <w:r>
              <w:rPr>
                <w:rFonts w:ascii="Arial" w:hAnsi="Arial" w:cs="Arial"/>
                <w:b/>
                <w:sz w:val="24"/>
                <w:szCs w:val="24"/>
              </w:rPr>
              <w:t>Liam Kerry</w:t>
            </w:r>
          </w:p>
        </w:tc>
      </w:tr>
      <w:tr w:rsidRPr="0010295E" w:rsidR="002422DC" w:rsidTr="0030311C" w14:paraId="6EFF66F3" w14:textId="77777777">
        <w:trPr>
          <w:trHeight w:val="286"/>
        </w:trPr>
        <w:tc>
          <w:tcPr>
            <w:tcW w:w="2417" w:type="dxa"/>
            <w:shd w:val="clear" w:color="auto" w:fill="auto"/>
          </w:tcPr>
          <w:p w:rsidRPr="0010295E" w:rsidR="002422DC" w:rsidP="0030311C" w:rsidRDefault="002422DC" w14:paraId="318C1669" w14:textId="77777777">
            <w:pPr>
              <w:pStyle w:val="NoSpacing"/>
              <w:jc w:val="both"/>
              <w:rPr>
                <w:rFonts w:ascii="Arial" w:hAnsi="Arial" w:cs="Arial"/>
                <w:b/>
                <w:sz w:val="24"/>
                <w:szCs w:val="24"/>
              </w:rPr>
            </w:pPr>
            <w:r w:rsidRPr="0010295E">
              <w:rPr>
                <w:rFonts w:ascii="Arial" w:hAnsi="Arial" w:cs="Arial"/>
                <w:b/>
                <w:sz w:val="24"/>
                <w:szCs w:val="24"/>
              </w:rPr>
              <w:t>Agenda Item:</w:t>
            </w:r>
          </w:p>
        </w:tc>
        <w:tc>
          <w:tcPr>
            <w:tcW w:w="7251" w:type="dxa"/>
            <w:shd w:val="clear" w:color="auto" w:fill="auto"/>
          </w:tcPr>
          <w:p w:rsidRPr="0010295E" w:rsidR="002422DC" w:rsidP="0030311C" w:rsidRDefault="002422DC" w14:paraId="66448DC3" w14:textId="77777777">
            <w:pPr>
              <w:pStyle w:val="NoSpacing"/>
              <w:jc w:val="both"/>
              <w:rPr>
                <w:rFonts w:ascii="Arial" w:hAnsi="Arial" w:cs="Arial"/>
                <w:b/>
                <w:sz w:val="24"/>
                <w:szCs w:val="24"/>
              </w:rPr>
            </w:pPr>
            <w:r>
              <w:rPr>
                <w:rFonts w:ascii="Arial" w:hAnsi="Arial" w:cs="Arial"/>
                <w:b/>
                <w:sz w:val="24"/>
                <w:szCs w:val="24"/>
              </w:rPr>
              <w:t>N/A</w:t>
            </w:r>
          </w:p>
        </w:tc>
      </w:tr>
    </w:tbl>
    <w:p w:rsidRPr="0010295E" w:rsidR="002422DC" w:rsidP="002422DC" w:rsidRDefault="002422DC" w14:paraId="571D74CF" w14:textId="77777777">
      <w:pPr>
        <w:pStyle w:val="NoSpacing"/>
        <w:jc w:val="both"/>
        <w:outlineLvl w:val="0"/>
        <w:rPr>
          <w:rFonts w:ascii="Arial" w:hAnsi="Arial" w:cs="Arial"/>
          <w:b/>
          <w:sz w:val="28"/>
          <w:szCs w:val="28"/>
        </w:rPr>
      </w:pPr>
    </w:p>
    <w:p w:rsidRPr="00672152" w:rsidR="002422DC" w:rsidP="002422DC" w:rsidRDefault="002422DC" w14:paraId="2016FED8" w14:textId="77777777">
      <w:pPr>
        <w:pStyle w:val="NoSpacing"/>
        <w:jc w:val="both"/>
        <w:outlineLvl w:val="0"/>
        <w:rPr>
          <w:rFonts w:ascii="Arial" w:hAnsi="Arial" w:cs="Arial"/>
          <w:b/>
          <w:sz w:val="28"/>
          <w:szCs w:val="28"/>
          <w:u w:val="single"/>
        </w:rPr>
      </w:pPr>
      <w:r w:rsidRPr="00672152">
        <w:rPr>
          <w:rFonts w:ascii="Arial" w:hAnsi="Arial" w:cs="Arial"/>
          <w:b/>
          <w:sz w:val="28"/>
          <w:szCs w:val="28"/>
          <w:u w:val="single"/>
        </w:rPr>
        <w:t>Treasury Management Interim Report 202</w:t>
      </w:r>
      <w:r>
        <w:rPr>
          <w:rFonts w:ascii="Arial" w:hAnsi="Arial" w:cs="Arial"/>
          <w:b/>
          <w:sz w:val="28"/>
          <w:szCs w:val="28"/>
          <w:u w:val="single"/>
        </w:rPr>
        <w:t>3</w:t>
      </w:r>
      <w:r w:rsidRPr="00672152">
        <w:rPr>
          <w:rFonts w:ascii="Arial" w:hAnsi="Arial" w:cs="Arial"/>
          <w:b/>
          <w:sz w:val="28"/>
          <w:szCs w:val="28"/>
          <w:u w:val="single"/>
        </w:rPr>
        <w:t>/2</w:t>
      </w:r>
      <w:r>
        <w:rPr>
          <w:rFonts w:ascii="Arial" w:hAnsi="Arial" w:cs="Arial"/>
          <w:b/>
          <w:sz w:val="28"/>
          <w:szCs w:val="28"/>
          <w:u w:val="single"/>
        </w:rPr>
        <w:t>4</w:t>
      </w:r>
      <w:r w:rsidRPr="00672152">
        <w:rPr>
          <w:rFonts w:ascii="Arial" w:hAnsi="Arial" w:cs="Arial"/>
          <w:b/>
          <w:sz w:val="28"/>
          <w:szCs w:val="28"/>
          <w:u w:val="single"/>
        </w:rPr>
        <w:t xml:space="preserve"> as at </w:t>
      </w:r>
      <w:r>
        <w:rPr>
          <w:rFonts w:ascii="Arial" w:hAnsi="Arial" w:cs="Arial"/>
          <w:b/>
          <w:sz w:val="28"/>
          <w:szCs w:val="28"/>
          <w:u w:val="single"/>
        </w:rPr>
        <w:t>30</w:t>
      </w:r>
      <w:r w:rsidRPr="007013D6">
        <w:rPr>
          <w:rFonts w:ascii="Arial" w:hAnsi="Arial" w:cs="Arial"/>
          <w:b/>
          <w:sz w:val="28"/>
          <w:szCs w:val="28"/>
          <w:u w:val="single"/>
          <w:vertAlign w:val="superscript"/>
        </w:rPr>
        <w:t>th</w:t>
      </w:r>
      <w:r>
        <w:rPr>
          <w:rFonts w:ascii="Arial" w:hAnsi="Arial" w:cs="Arial"/>
          <w:b/>
          <w:sz w:val="28"/>
          <w:szCs w:val="28"/>
          <w:u w:val="single"/>
        </w:rPr>
        <w:t xml:space="preserve"> September</w:t>
      </w:r>
      <w:r w:rsidRPr="00672152">
        <w:rPr>
          <w:rFonts w:ascii="Arial" w:hAnsi="Arial" w:cs="Arial"/>
          <w:b/>
          <w:sz w:val="28"/>
          <w:szCs w:val="28"/>
          <w:u w:val="single"/>
        </w:rPr>
        <w:t xml:space="preserve"> 202</w:t>
      </w:r>
      <w:r>
        <w:rPr>
          <w:rFonts w:ascii="Arial" w:hAnsi="Arial" w:cs="Arial"/>
          <w:b/>
          <w:sz w:val="28"/>
          <w:szCs w:val="28"/>
          <w:u w:val="single"/>
        </w:rPr>
        <w:t>3</w:t>
      </w:r>
      <w:r w:rsidRPr="00672152">
        <w:rPr>
          <w:rFonts w:ascii="Arial" w:hAnsi="Arial" w:cs="Arial"/>
          <w:b/>
          <w:sz w:val="28"/>
          <w:szCs w:val="28"/>
          <w:u w:val="single"/>
        </w:rPr>
        <w:t>.</w:t>
      </w:r>
    </w:p>
    <w:p w:rsidRPr="00511A13" w:rsidR="002422DC" w:rsidP="002422DC" w:rsidRDefault="002422DC" w14:paraId="2D3B6F8C" w14:textId="77777777">
      <w:pPr>
        <w:pStyle w:val="NoSpacing"/>
        <w:jc w:val="both"/>
        <w:outlineLvl w:val="0"/>
        <w:rPr>
          <w:rFonts w:ascii="Arial" w:hAnsi="Arial" w:cs="Arial"/>
          <w:sz w:val="24"/>
          <w:szCs w:val="24"/>
        </w:rPr>
      </w:pPr>
    </w:p>
    <w:tbl>
      <w:tblPr>
        <w:tblW w:w="96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634"/>
      </w:tblGrid>
      <w:tr w:rsidRPr="001D4AC6" w:rsidR="002422DC" w:rsidTr="0030311C" w14:paraId="318C8F71" w14:textId="77777777">
        <w:tc>
          <w:tcPr>
            <w:tcW w:w="9634" w:type="dxa"/>
          </w:tcPr>
          <w:p w:rsidRPr="001D4AC6" w:rsidR="002422DC" w:rsidP="002422DC" w:rsidRDefault="002422DC" w14:paraId="5C3327D9" w14:textId="77777777">
            <w:pPr>
              <w:pStyle w:val="NoSpacing"/>
              <w:numPr>
                <w:ilvl w:val="0"/>
                <w:numId w:val="23"/>
              </w:numPr>
              <w:jc w:val="both"/>
              <w:rPr>
                <w:rFonts w:ascii="Arial" w:hAnsi="Arial" w:cs="Arial"/>
                <w:b/>
              </w:rPr>
            </w:pPr>
            <w:r w:rsidRPr="001D4AC6">
              <w:rPr>
                <w:rFonts w:ascii="Arial" w:hAnsi="Arial" w:cs="Arial"/>
                <w:b/>
              </w:rPr>
              <w:t>Purpose of the Report</w:t>
            </w:r>
          </w:p>
        </w:tc>
      </w:tr>
    </w:tbl>
    <w:p w:rsidRPr="001D4AC6" w:rsidR="002422DC" w:rsidP="002422DC" w:rsidRDefault="002422DC" w14:paraId="7867B332" w14:textId="77777777">
      <w:pPr>
        <w:pStyle w:val="NoSpacing"/>
        <w:jc w:val="both"/>
        <w:rPr>
          <w:rFonts w:ascii="Arial" w:hAnsi="Arial" w:cs="Arial"/>
        </w:rPr>
      </w:pPr>
    </w:p>
    <w:p w:rsidRPr="001D4AC6" w:rsidR="002422DC" w:rsidP="002422DC" w:rsidRDefault="002422DC" w14:paraId="3D527A81" w14:textId="77777777">
      <w:pPr>
        <w:spacing w:line="264" w:lineRule="auto"/>
        <w:ind w:left="426"/>
        <w:jc w:val="both"/>
        <w:rPr>
          <w:rFonts w:cs="Arial"/>
          <w:sz w:val="22"/>
          <w:szCs w:val="22"/>
        </w:rPr>
      </w:pPr>
      <w:r w:rsidRPr="001D4AC6">
        <w:rPr>
          <w:rFonts w:cs="Arial"/>
          <w:sz w:val="22"/>
          <w:szCs w:val="22"/>
        </w:rPr>
        <w:t>The purpose of this report is to provide the performance monitoring of the 2023/24 Prudential Code Indicators to the Police and Crime Commissioner (PCC).</w:t>
      </w:r>
    </w:p>
    <w:p w:rsidRPr="001D4AC6" w:rsidR="002422DC" w:rsidP="002422DC" w:rsidRDefault="002422DC" w14:paraId="20326BBA" w14:textId="6DF4F75D">
      <w:pPr>
        <w:spacing w:line="264" w:lineRule="auto"/>
        <w:ind w:left="426"/>
        <w:jc w:val="both"/>
        <w:rPr>
          <w:rFonts w:cs="Arial"/>
          <w:sz w:val="22"/>
          <w:szCs w:val="22"/>
        </w:rPr>
      </w:pPr>
      <w:r w:rsidRPr="001D4AC6">
        <w:rPr>
          <w:rFonts w:cs="Arial"/>
          <w:sz w:val="22"/>
          <w:szCs w:val="22"/>
        </w:rPr>
        <w:t>Regular reporting of Treasury activity is required in line with the Treasury Management Strategy, and this report meets these requirements.</w:t>
      </w:r>
    </w:p>
    <w:p w:rsidRPr="001D4AC6" w:rsidR="002422DC" w:rsidP="002422DC" w:rsidRDefault="002422DC" w14:paraId="69C2AA29" w14:textId="77777777">
      <w:pPr>
        <w:spacing w:line="264" w:lineRule="auto"/>
        <w:ind w:left="426"/>
        <w:jc w:val="both"/>
        <w:rPr>
          <w:rFonts w:cs="Arial"/>
          <w:sz w:val="22"/>
          <w:szCs w:val="22"/>
        </w:rPr>
      </w:pPr>
    </w:p>
    <w:tbl>
      <w:tblPr>
        <w:tblW w:w="96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634"/>
      </w:tblGrid>
      <w:tr w:rsidRPr="001D4AC6" w:rsidR="002422DC" w:rsidTr="0030311C" w14:paraId="53C8ACD1" w14:textId="77777777">
        <w:tc>
          <w:tcPr>
            <w:tcW w:w="9634" w:type="dxa"/>
          </w:tcPr>
          <w:p w:rsidRPr="001D4AC6" w:rsidR="002422DC" w:rsidP="002422DC" w:rsidRDefault="002422DC" w14:paraId="495B6F46" w14:textId="77777777">
            <w:pPr>
              <w:pStyle w:val="NoSpacing"/>
              <w:numPr>
                <w:ilvl w:val="0"/>
                <w:numId w:val="23"/>
              </w:numPr>
              <w:jc w:val="both"/>
              <w:rPr>
                <w:rFonts w:ascii="Arial" w:hAnsi="Arial" w:cs="Arial"/>
                <w:b/>
              </w:rPr>
            </w:pPr>
            <w:r w:rsidRPr="001D4AC6">
              <w:rPr>
                <w:rFonts w:ascii="Arial" w:hAnsi="Arial" w:cs="Arial"/>
                <w:b/>
              </w:rPr>
              <w:t>Recommendations</w:t>
            </w:r>
          </w:p>
        </w:tc>
      </w:tr>
    </w:tbl>
    <w:p w:rsidRPr="001D4AC6" w:rsidR="002422DC" w:rsidP="002422DC" w:rsidRDefault="002422DC" w14:paraId="549AA657" w14:textId="77777777">
      <w:pPr>
        <w:pStyle w:val="NoSpacing"/>
        <w:jc w:val="both"/>
        <w:rPr>
          <w:rFonts w:ascii="Arial" w:hAnsi="Arial" w:cs="Arial"/>
          <w:highlight w:val="yellow"/>
        </w:rPr>
      </w:pPr>
    </w:p>
    <w:p w:rsidRPr="001D4AC6" w:rsidR="002422DC" w:rsidP="002422DC" w:rsidRDefault="002422DC" w14:paraId="4BEC3E55" w14:textId="77777777">
      <w:pPr>
        <w:pStyle w:val="NoSpacing"/>
        <w:numPr>
          <w:ilvl w:val="1"/>
          <w:numId w:val="23"/>
        </w:numPr>
        <w:tabs>
          <w:tab w:val="left" w:pos="709"/>
        </w:tabs>
        <w:ind w:firstLine="0"/>
        <w:jc w:val="both"/>
        <w:rPr>
          <w:rFonts w:ascii="Arial" w:hAnsi="Arial" w:cs="Arial"/>
        </w:rPr>
      </w:pPr>
      <w:r w:rsidRPr="001D4AC6">
        <w:rPr>
          <w:rFonts w:ascii="Arial" w:hAnsi="Arial" w:cs="Arial"/>
        </w:rPr>
        <w:t>Recommendation 1</w:t>
      </w:r>
    </w:p>
    <w:p w:rsidRPr="001D4AC6" w:rsidR="002422DC" w:rsidP="002422DC" w:rsidRDefault="002422DC" w14:paraId="41201DD8" w14:textId="77777777">
      <w:pPr>
        <w:pStyle w:val="NoSpacing"/>
        <w:tabs>
          <w:tab w:val="left" w:pos="709"/>
        </w:tabs>
        <w:ind w:left="709"/>
        <w:jc w:val="both"/>
        <w:rPr>
          <w:rFonts w:ascii="Arial" w:hAnsi="Arial" w:cs="Arial"/>
        </w:rPr>
      </w:pPr>
      <w:r w:rsidRPr="001D4AC6">
        <w:rPr>
          <w:rFonts w:ascii="Arial" w:hAnsi="Arial" w:cs="Arial"/>
          <w:bCs/>
        </w:rPr>
        <w:t>It is recommended</w:t>
      </w:r>
      <w:r w:rsidRPr="001D4AC6">
        <w:rPr>
          <w:rFonts w:ascii="Arial" w:hAnsi="Arial" w:cs="Arial"/>
        </w:rPr>
        <w:t xml:space="preserve"> that the contents of the report are noted.</w:t>
      </w:r>
    </w:p>
    <w:p w:rsidRPr="001D4AC6" w:rsidR="002422DC" w:rsidP="002422DC" w:rsidRDefault="002422DC" w14:paraId="0825AE94" w14:textId="77777777">
      <w:pPr>
        <w:pStyle w:val="NoSpacing"/>
        <w:tabs>
          <w:tab w:val="left" w:pos="709"/>
        </w:tabs>
        <w:ind w:left="709"/>
        <w:jc w:val="both"/>
        <w:rPr>
          <w:rFonts w:ascii="Arial" w:hAnsi="Arial" w:cs="Arial"/>
        </w:rPr>
      </w:pPr>
    </w:p>
    <w:p w:rsidRPr="001D4AC6" w:rsidR="002422DC" w:rsidP="002422DC" w:rsidRDefault="002422DC" w14:paraId="28A725B4" w14:textId="77777777">
      <w:pPr>
        <w:pStyle w:val="NoSpacing"/>
        <w:numPr>
          <w:ilvl w:val="1"/>
          <w:numId w:val="23"/>
        </w:numPr>
        <w:tabs>
          <w:tab w:val="left" w:pos="709"/>
        </w:tabs>
        <w:ind w:left="709" w:hanging="709"/>
        <w:jc w:val="both"/>
        <w:rPr>
          <w:rFonts w:ascii="Arial" w:hAnsi="Arial" w:cs="Arial"/>
        </w:rPr>
      </w:pPr>
      <w:r w:rsidRPr="001D4AC6">
        <w:rPr>
          <w:rFonts w:ascii="Arial" w:hAnsi="Arial" w:cs="Arial"/>
        </w:rPr>
        <w:t xml:space="preserve">Recommendation 2 </w:t>
      </w:r>
    </w:p>
    <w:p w:rsidRPr="001D4AC6" w:rsidR="002422DC" w:rsidP="002422DC" w:rsidRDefault="002422DC" w14:paraId="2F5E3E3D" w14:textId="77777777">
      <w:pPr>
        <w:pStyle w:val="NoSpacing"/>
        <w:tabs>
          <w:tab w:val="left" w:pos="709"/>
        </w:tabs>
        <w:ind w:left="709"/>
        <w:jc w:val="both"/>
        <w:rPr>
          <w:rFonts w:ascii="Arial" w:hAnsi="Arial" w:cs="Arial"/>
        </w:rPr>
      </w:pPr>
      <w:r w:rsidRPr="001D4AC6">
        <w:rPr>
          <w:rFonts w:ascii="Arial" w:hAnsi="Arial" w:cs="Arial"/>
        </w:rPr>
        <w:t>It is recommended that this report is forwarded to the Joint Independent Audit Committee for their review and comment.</w:t>
      </w:r>
    </w:p>
    <w:p w:rsidRPr="001D4AC6" w:rsidR="002422DC" w:rsidP="002422DC" w:rsidRDefault="002422DC" w14:paraId="4D866773" w14:textId="77777777">
      <w:pPr>
        <w:pStyle w:val="NoSpacing"/>
        <w:tabs>
          <w:tab w:val="left" w:pos="709"/>
        </w:tabs>
        <w:jc w:val="both"/>
        <w:rPr>
          <w:rFonts w:ascii="Arial" w:hAnsi="Arial" w:cs="Arial"/>
        </w:rPr>
      </w:pPr>
    </w:p>
    <w:tbl>
      <w:tblPr>
        <w:tblW w:w="96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634"/>
      </w:tblGrid>
      <w:tr w:rsidRPr="001D4AC6" w:rsidR="002422DC" w:rsidTr="0030311C" w14:paraId="611A9888" w14:textId="77777777">
        <w:trPr>
          <w:trHeight w:val="232"/>
        </w:trPr>
        <w:tc>
          <w:tcPr>
            <w:tcW w:w="9634" w:type="dxa"/>
          </w:tcPr>
          <w:p w:rsidRPr="001D4AC6" w:rsidR="002422DC" w:rsidP="002422DC" w:rsidRDefault="002422DC" w14:paraId="383B96F2" w14:textId="77777777">
            <w:pPr>
              <w:pStyle w:val="NoSpacing"/>
              <w:numPr>
                <w:ilvl w:val="0"/>
                <w:numId w:val="23"/>
              </w:numPr>
              <w:jc w:val="both"/>
              <w:rPr>
                <w:rFonts w:ascii="Arial" w:hAnsi="Arial" w:cs="Arial"/>
                <w:b/>
              </w:rPr>
            </w:pPr>
            <w:r w:rsidRPr="001D4AC6">
              <w:rPr>
                <w:rFonts w:ascii="Arial" w:hAnsi="Arial" w:cs="Arial"/>
                <w:b/>
              </w:rPr>
              <w:t>Reasons for Recommendations</w:t>
            </w:r>
          </w:p>
        </w:tc>
      </w:tr>
    </w:tbl>
    <w:p w:rsidRPr="001D4AC6" w:rsidR="002422DC" w:rsidP="002422DC" w:rsidRDefault="002422DC" w14:paraId="545A7258" w14:textId="77777777">
      <w:pPr>
        <w:pStyle w:val="NoSpacing"/>
        <w:ind w:left="928"/>
        <w:jc w:val="both"/>
        <w:rPr>
          <w:rFonts w:ascii="Arial" w:hAnsi="Arial" w:cs="Arial"/>
        </w:rPr>
      </w:pPr>
    </w:p>
    <w:p w:rsidRPr="001D4AC6" w:rsidR="002422DC" w:rsidP="002422DC" w:rsidRDefault="002422DC" w14:paraId="2CE18B1D" w14:textId="77777777">
      <w:pPr>
        <w:pStyle w:val="NoSpacing"/>
        <w:numPr>
          <w:ilvl w:val="1"/>
          <w:numId w:val="23"/>
        </w:numPr>
        <w:ind w:left="709" w:hanging="709"/>
        <w:jc w:val="both"/>
        <w:rPr>
          <w:rFonts w:ascii="Arial" w:hAnsi="Arial" w:cs="Arial"/>
        </w:rPr>
      </w:pPr>
      <w:r w:rsidRPr="001D4AC6">
        <w:rPr>
          <w:rFonts w:ascii="Arial" w:hAnsi="Arial" w:cs="Arial"/>
        </w:rPr>
        <w:t>To update the PCC on the Treasury Management activities in compliance with the Treasury Strategy.</w:t>
      </w:r>
    </w:p>
    <w:p w:rsidRPr="001D4AC6" w:rsidR="002422DC" w:rsidP="002422DC" w:rsidRDefault="002422DC" w14:paraId="63A295A6" w14:textId="77777777">
      <w:pPr>
        <w:pStyle w:val="NoSpacing"/>
        <w:ind w:left="709"/>
        <w:jc w:val="both"/>
        <w:rPr>
          <w:rFonts w:ascii="Arial" w:hAnsi="Arial" w:cs="Arial"/>
        </w:rPr>
      </w:pPr>
    </w:p>
    <w:tbl>
      <w:tblPr>
        <w:tblW w:w="96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634"/>
      </w:tblGrid>
      <w:tr w:rsidRPr="001D4AC6" w:rsidR="002422DC" w:rsidTr="0030311C" w14:paraId="0260A5B5" w14:textId="77777777">
        <w:trPr>
          <w:trHeight w:val="232"/>
        </w:trPr>
        <w:tc>
          <w:tcPr>
            <w:tcW w:w="9634" w:type="dxa"/>
          </w:tcPr>
          <w:p w:rsidRPr="001D4AC6" w:rsidR="002422DC" w:rsidP="002422DC" w:rsidRDefault="002422DC" w14:paraId="6F53F165" w14:textId="77777777">
            <w:pPr>
              <w:pStyle w:val="NoSpacing"/>
              <w:numPr>
                <w:ilvl w:val="0"/>
                <w:numId w:val="23"/>
              </w:numPr>
              <w:jc w:val="both"/>
              <w:rPr>
                <w:rFonts w:ascii="Arial" w:hAnsi="Arial" w:cs="Arial"/>
                <w:b/>
              </w:rPr>
            </w:pPr>
            <w:r w:rsidRPr="001D4AC6">
              <w:rPr>
                <w:rFonts w:ascii="Arial" w:hAnsi="Arial" w:cs="Arial"/>
                <w:b/>
              </w:rPr>
              <w:t>Background</w:t>
            </w:r>
          </w:p>
        </w:tc>
      </w:tr>
    </w:tbl>
    <w:p w:rsidRPr="001D4AC6" w:rsidR="002422DC" w:rsidP="002422DC" w:rsidRDefault="002422DC" w14:paraId="50C1C787" w14:textId="77777777">
      <w:pPr>
        <w:pStyle w:val="NoSpacing"/>
        <w:ind w:left="426"/>
        <w:rPr>
          <w:rFonts w:ascii="Arial" w:hAnsi="Arial" w:cs="Arial"/>
          <w:b/>
        </w:rPr>
      </w:pPr>
    </w:p>
    <w:p w:rsidRPr="002422DC" w:rsidR="002422DC" w:rsidP="002422DC" w:rsidRDefault="002422DC" w14:paraId="3510576B" w14:textId="77777777">
      <w:pPr>
        <w:spacing w:line="264" w:lineRule="auto"/>
        <w:ind w:left="426"/>
        <w:jc w:val="both"/>
        <w:rPr>
          <w:rFonts w:cs="Arial"/>
          <w:sz w:val="22"/>
          <w:szCs w:val="22"/>
        </w:rPr>
      </w:pPr>
      <w:r w:rsidRPr="002422DC">
        <w:rPr>
          <w:rFonts w:cs="Arial"/>
          <w:sz w:val="22"/>
          <w:szCs w:val="22"/>
        </w:rPr>
        <w:t xml:space="preserve">The Organisation is required by regulations issued under the Local Government Act 2003 to report on its Prudential Code indicators and treasury activity. This report meets the requirements of both the CIPFA Code of Practice on Treasury Management (the Code) and the CIPFA Prudential Code for Capital Finance in Local Authorities (the Prudential Code). </w:t>
      </w:r>
    </w:p>
    <w:p w:rsidRPr="002422DC" w:rsidR="002422DC" w:rsidP="002422DC" w:rsidRDefault="002422DC" w14:paraId="4EF67864" w14:textId="77777777">
      <w:pPr>
        <w:pStyle w:val="NoSpacing"/>
        <w:ind w:left="426"/>
        <w:rPr>
          <w:rFonts w:ascii="Arial" w:hAnsi="Arial" w:cs="Arial"/>
          <w:bCs/>
        </w:rPr>
      </w:pPr>
    </w:p>
    <w:p w:rsidRPr="002422DC" w:rsidR="002422DC" w:rsidP="002422DC" w:rsidRDefault="002422DC" w14:paraId="607569F8" w14:textId="77777777">
      <w:pPr>
        <w:pStyle w:val="NoSpacing"/>
        <w:numPr>
          <w:ilvl w:val="1"/>
          <w:numId w:val="23"/>
        </w:numPr>
        <w:ind w:left="567" w:hanging="567"/>
        <w:rPr>
          <w:rFonts w:ascii="Arial" w:hAnsi="Arial" w:cs="Arial" w:eastAsiaTheme="minorHAnsi"/>
        </w:rPr>
      </w:pPr>
      <w:r w:rsidRPr="002422DC">
        <w:rPr>
          <w:rFonts w:ascii="Arial" w:hAnsi="Arial" w:cs="Arial" w:eastAsiaTheme="minorHAnsi"/>
        </w:rPr>
        <w:t xml:space="preserve">For 2023/24 the minimum reporting requirements are that the PCC should receive the following reports: </w:t>
      </w:r>
    </w:p>
    <w:p w:rsidRPr="002422DC" w:rsidR="002422DC" w:rsidP="002422DC" w:rsidRDefault="002422DC" w14:paraId="136F408A" w14:textId="77777777">
      <w:pPr>
        <w:pStyle w:val="ListParagraph"/>
        <w:numPr>
          <w:ilvl w:val="0"/>
          <w:numId w:val="22"/>
        </w:numPr>
        <w:spacing w:after="160" w:line="259" w:lineRule="auto"/>
        <w:rPr>
          <w:rFonts w:cs="Arial" w:eastAsiaTheme="minorHAnsi"/>
          <w:sz w:val="22"/>
          <w:szCs w:val="22"/>
        </w:rPr>
      </w:pPr>
      <w:r w:rsidRPr="002422DC">
        <w:rPr>
          <w:rFonts w:cs="Arial" w:eastAsiaTheme="minorHAnsi"/>
          <w:sz w:val="22"/>
          <w:szCs w:val="22"/>
        </w:rPr>
        <w:t>An Annual Treasury Strategy in advance of the year.</w:t>
      </w:r>
    </w:p>
    <w:p w:rsidRPr="002422DC" w:rsidR="002422DC" w:rsidP="002422DC" w:rsidRDefault="002422DC" w14:paraId="2E0BA1C3" w14:textId="77777777">
      <w:pPr>
        <w:pStyle w:val="ListParagraph"/>
        <w:numPr>
          <w:ilvl w:val="0"/>
          <w:numId w:val="22"/>
        </w:numPr>
        <w:spacing w:after="160" w:line="259" w:lineRule="auto"/>
        <w:rPr>
          <w:rFonts w:cs="Arial" w:eastAsiaTheme="minorHAnsi"/>
          <w:sz w:val="22"/>
          <w:szCs w:val="22"/>
        </w:rPr>
      </w:pPr>
      <w:r w:rsidRPr="002422DC">
        <w:rPr>
          <w:rFonts w:cs="Arial" w:eastAsiaTheme="minorHAnsi"/>
          <w:sz w:val="22"/>
          <w:szCs w:val="22"/>
        </w:rPr>
        <w:t>A Mid-Year Treasury Update Report (this report).</w:t>
      </w:r>
    </w:p>
    <w:p w:rsidRPr="002422DC" w:rsidR="002422DC" w:rsidP="002422DC" w:rsidRDefault="002422DC" w14:paraId="0F496F17" w14:textId="77777777">
      <w:pPr>
        <w:pStyle w:val="ListParagraph"/>
        <w:numPr>
          <w:ilvl w:val="0"/>
          <w:numId w:val="22"/>
        </w:numPr>
        <w:spacing w:after="160" w:line="259" w:lineRule="auto"/>
        <w:rPr>
          <w:rFonts w:cs="Arial" w:eastAsiaTheme="minorHAnsi"/>
          <w:color w:val="00B050"/>
          <w:sz w:val="22"/>
          <w:szCs w:val="22"/>
        </w:rPr>
      </w:pPr>
      <w:r w:rsidRPr="002422DC">
        <w:rPr>
          <w:rFonts w:cs="Arial" w:eastAsiaTheme="minorHAnsi"/>
          <w:sz w:val="22"/>
          <w:szCs w:val="22"/>
        </w:rPr>
        <w:t>An Annual Review following the end of the year describing the activity compared to the Strategy. (This is planned for May 2024).</w:t>
      </w:r>
    </w:p>
    <w:p w:rsidRPr="002422DC" w:rsidR="002422DC" w:rsidP="002422DC" w:rsidRDefault="002422DC" w14:paraId="0F377025" w14:textId="77777777">
      <w:pPr>
        <w:spacing w:after="160" w:line="259" w:lineRule="auto"/>
        <w:ind w:left="567"/>
        <w:jc w:val="both"/>
        <w:rPr>
          <w:rFonts w:cs="Arial" w:eastAsiaTheme="minorHAnsi"/>
          <w:sz w:val="22"/>
          <w:szCs w:val="22"/>
        </w:rPr>
      </w:pPr>
      <w:r w:rsidRPr="002422DC">
        <w:rPr>
          <w:rFonts w:cs="Arial" w:eastAsiaTheme="minorHAnsi"/>
          <w:sz w:val="22"/>
          <w:szCs w:val="22"/>
        </w:rPr>
        <w:lastRenderedPageBreak/>
        <w:t>In accordance with best practice, regular updates on treasury activity are also provided to the PCCs Chief Financial Officer (CFO).</w:t>
      </w:r>
    </w:p>
    <w:p w:rsidRPr="002422DC" w:rsidR="002422DC" w:rsidP="002422DC" w:rsidRDefault="002422DC" w14:paraId="5CD5E40D" w14:textId="77777777">
      <w:pPr>
        <w:pStyle w:val="NoSpacing"/>
        <w:numPr>
          <w:ilvl w:val="1"/>
          <w:numId w:val="23"/>
        </w:numPr>
        <w:ind w:left="426" w:hanging="567"/>
        <w:jc w:val="both"/>
        <w:rPr>
          <w:rFonts w:ascii="Arial" w:hAnsi="Arial" w:cs="Arial" w:eastAsiaTheme="minorHAnsi"/>
        </w:rPr>
      </w:pPr>
      <w:r w:rsidRPr="002422DC">
        <w:rPr>
          <w:rFonts w:ascii="Arial" w:hAnsi="Arial" w:cs="Arial" w:eastAsiaTheme="minorHAnsi"/>
        </w:rPr>
        <w:t>The regulatory environment places responsibility on the PCC for the review and scrutiny of treasury management policy and activities, this duty is supported by further review by the Joint Independent Audit Committee (JIAC). This report provides details of the position at 30</w:t>
      </w:r>
      <w:r w:rsidRPr="002422DC">
        <w:rPr>
          <w:rFonts w:ascii="Arial" w:hAnsi="Arial" w:cs="Arial" w:eastAsiaTheme="minorHAnsi"/>
          <w:vertAlign w:val="superscript"/>
        </w:rPr>
        <w:t>th</w:t>
      </w:r>
      <w:r w:rsidRPr="002422DC">
        <w:rPr>
          <w:rFonts w:ascii="Arial" w:hAnsi="Arial" w:cs="Arial" w:eastAsiaTheme="minorHAnsi"/>
        </w:rPr>
        <w:t xml:space="preserve"> September 2023 and highlights compliance and non-compliance with the approved Strategy.</w:t>
      </w:r>
    </w:p>
    <w:p w:rsidR="002422DC" w:rsidP="002422DC" w:rsidRDefault="002422DC" w14:paraId="149AB1CC" w14:textId="77777777">
      <w:pPr>
        <w:pStyle w:val="NoSpacing"/>
        <w:ind w:left="426"/>
        <w:jc w:val="both"/>
        <w:rPr>
          <w:rFonts w:ascii="Arial" w:hAnsi="Arial" w:cs="Arial" w:eastAsiaTheme="minorHAnsi"/>
          <w:sz w:val="24"/>
          <w:szCs w:val="24"/>
        </w:rPr>
      </w:pPr>
    </w:p>
    <w:p w:rsidR="002422DC" w:rsidP="002422DC" w:rsidRDefault="002422DC" w14:paraId="0DA3A83E" w14:textId="77777777">
      <w:pPr>
        <w:pStyle w:val="NoSpacing"/>
        <w:rPr>
          <w:rFonts w:ascii="Arial" w:hAnsi="Arial" w:cs="Arial"/>
          <w:sz w:val="24"/>
          <w:szCs w:val="24"/>
        </w:rPr>
      </w:pPr>
    </w:p>
    <w:p w:rsidRPr="001D4AC6" w:rsidR="002422DC" w:rsidP="002422DC" w:rsidRDefault="002422DC" w14:paraId="5A7A10CA" w14:textId="77777777">
      <w:pPr>
        <w:pStyle w:val="NoSpacing"/>
        <w:numPr>
          <w:ilvl w:val="0"/>
          <w:numId w:val="23"/>
        </w:numPr>
        <w:pBdr>
          <w:top w:val="single" w:color="auto" w:sz="4" w:space="1"/>
          <w:left w:val="single" w:color="auto" w:sz="4" w:space="4"/>
          <w:bottom w:val="single" w:color="auto" w:sz="4" w:space="1"/>
          <w:right w:val="single" w:color="auto" w:sz="4" w:space="4"/>
          <w:between w:val="single" w:color="auto" w:sz="4" w:space="1"/>
          <w:bar w:val="single" w:color="auto" w:sz="4"/>
        </w:pBdr>
        <w:rPr>
          <w:rFonts w:ascii="Arial" w:hAnsi="Arial" w:cs="Arial"/>
          <w:b/>
        </w:rPr>
      </w:pPr>
      <w:r w:rsidRPr="001D4AC6">
        <w:rPr>
          <w:rFonts w:ascii="Arial" w:hAnsi="Arial" w:cs="Arial"/>
          <w:b/>
        </w:rPr>
        <w:t>Treasury Activity</w:t>
      </w:r>
    </w:p>
    <w:p w:rsidR="002422DC" w:rsidP="002422DC" w:rsidRDefault="002422DC" w14:paraId="17E2ED0D" w14:textId="77777777">
      <w:pPr>
        <w:rPr>
          <w:rStyle w:val="Heading1Char"/>
          <w:rFonts w:eastAsia="Calibri"/>
          <w:sz w:val="24"/>
          <w:szCs w:val="24"/>
        </w:rPr>
      </w:pPr>
    </w:p>
    <w:p w:rsidRPr="001D4AC6" w:rsidR="002422DC" w:rsidP="002422DC" w:rsidRDefault="002422DC" w14:paraId="77ACD320" w14:textId="77777777">
      <w:pPr>
        <w:rPr>
          <w:rStyle w:val="Heading1Char"/>
          <w:rFonts w:ascii="Arial" w:hAnsi="Arial" w:eastAsia="Calibri" w:cs="Arial"/>
          <w:b/>
          <w:bCs/>
          <w:szCs w:val="22"/>
        </w:rPr>
      </w:pPr>
      <w:r w:rsidRPr="001D4AC6">
        <w:rPr>
          <w:rStyle w:val="Heading1Char"/>
          <w:rFonts w:ascii="Arial" w:hAnsi="Arial" w:eastAsia="Calibri" w:cs="Arial"/>
          <w:b/>
          <w:bCs/>
          <w:szCs w:val="22"/>
        </w:rPr>
        <w:t xml:space="preserve">5.1 Investments </w:t>
      </w:r>
      <w:bookmarkStart w:name="_Toc260144062" w:id="2"/>
      <w:bookmarkStart w:name="_Toc260143042" w:id="3"/>
      <w:bookmarkStart w:name="_Toc260128486" w:id="4"/>
      <w:bookmarkStart w:name="_Toc260128222" w:id="5"/>
    </w:p>
    <w:p w:rsidRPr="002422DC" w:rsidR="002422DC" w:rsidP="002422DC" w:rsidRDefault="002422DC" w14:paraId="3C2C76CD" w14:textId="77777777">
      <w:pPr>
        <w:spacing w:before="60" w:after="60" w:line="271" w:lineRule="auto"/>
        <w:ind w:left="426"/>
        <w:jc w:val="both"/>
        <w:rPr>
          <w:rFonts w:eastAsia="Bliss 2 Regular" w:cs="Arial"/>
          <w:sz w:val="22"/>
          <w:szCs w:val="22"/>
        </w:rPr>
      </w:pPr>
      <w:r w:rsidRPr="002422DC">
        <w:rPr>
          <w:rFonts w:eastAsia="Bliss 2 Regular" w:cs="Arial"/>
          <w:sz w:val="22"/>
          <w:szCs w:val="22"/>
        </w:rPr>
        <w:t xml:space="preserve">During the first half of the year, we saw Interest rates rise by a further 100bps, taking Bank Rate from 4.25% to 5.25% and, possibly, the peak in the tightening cycle. The Authority has a new positive investment position as a result of the timing of the Council Tax Freeze &amp; Support Grants.  </w:t>
      </w:r>
    </w:p>
    <w:p w:rsidR="002422DC" w:rsidP="002422DC" w:rsidRDefault="002422DC" w14:paraId="10D659D6" w14:textId="47D437F7">
      <w:pPr>
        <w:spacing w:before="60" w:after="60" w:line="271" w:lineRule="auto"/>
        <w:ind w:left="426"/>
        <w:jc w:val="both"/>
        <w:rPr>
          <w:rFonts w:eastAsia="Bliss 2 Regular" w:cs="Arial"/>
          <w:sz w:val="22"/>
          <w:szCs w:val="22"/>
        </w:rPr>
      </w:pPr>
      <w:r w:rsidRPr="002422DC">
        <w:rPr>
          <w:rFonts w:eastAsia="Bliss 2 Regular" w:cs="Arial"/>
          <w:sz w:val="22"/>
          <w:szCs w:val="22"/>
        </w:rPr>
        <w:t xml:space="preserve">Due to improved budget monitoring, a high pension grant as a result of the increase in Police Officer numbers the organisation has significantly larger cash funds than previous years, and interest rates have continued to climb.  </w:t>
      </w:r>
    </w:p>
    <w:p w:rsidRPr="002422DC" w:rsidR="001D4AC6" w:rsidP="002422DC" w:rsidRDefault="001D4AC6" w14:paraId="3373DABE" w14:textId="77777777">
      <w:pPr>
        <w:spacing w:before="60" w:after="60" w:line="271" w:lineRule="auto"/>
        <w:ind w:left="426"/>
        <w:jc w:val="both"/>
        <w:rPr>
          <w:rFonts w:eastAsia="Bliss 2 Regular" w:cs="Arial"/>
          <w:sz w:val="22"/>
          <w:szCs w:val="22"/>
        </w:rPr>
      </w:pPr>
    </w:p>
    <w:p w:rsidRPr="002422DC" w:rsidR="002422DC" w:rsidP="002422DC" w:rsidRDefault="002422DC" w14:paraId="0A412589" w14:textId="77777777">
      <w:pPr>
        <w:spacing w:before="60" w:after="60" w:line="271" w:lineRule="auto"/>
        <w:ind w:left="426"/>
        <w:jc w:val="both"/>
        <w:rPr>
          <w:rFonts w:eastAsia="Bliss 2 Regular" w:cs="Arial"/>
          <w:sz w:val="22"/>
          <w:szCs w:val="22"/>
        </w:rPr>
      </w:pPr>
      <w:r w:rsidRPr="002422DC">
        <w:rPr>
          <w:rFonts w:eastAsia="Bliss 2 Regular" w:cs="Arial"/>
          <w:sz w:val="22"/>
          <w:szCs w:val="22"/>
        </w:rPr>
        <w:t xml:space="preserve">The Commissioner held £80.5m of investments as at 30th September 2023 (£53.3m at 31 March 2023) and the weighted investment portfolio yield for the first six months of the year is 4.07% against the original benchmark of 4.90%. The yield is currently below the benchmark due to a number of fixed investments with Local Authorities that were in place prior to the uplift in interest rates. With these investments omitted from the calculation, the yield rises to 5.04%. The investments at the lower rates have now matured, so the overall yield will increase for the rest of the year. </w:t>
      </w:r>
    </w:p>
    <w:p w:rsidR="002422DC" w:rsidP="002422DC" w:rsidRDefault="002422DC" w14:paraId="0049B47E" w14:textId="77777777">
      <w:pPr>
        <w:spacing w:before="60" w:after="60" w:line="271" w:lineRule="auto"/>
        <w:ind w:left="426"/>
        <w:jc w:val="both"/>
        <w:rPr>
          <w:rFonts w:eastAsia="Bliss 2 Regular" w:cs="Arial"/>
          <w:szCs w:val="24"/>
        </w:rPr>
      </w:pPr>
    </w:p>
    <w:bookmarkEnd w:id="2"/>
    <w:bookmarkEnd w:id="3"/>
    <w:bookmarkEnd w:id="4"/>
    <w:bookmarkEnd w:id="5"/>
    <w:p w:rsidR="002422DC" w:rsidP="002422DC" w:rsidRDefault="002422DC" w14:paraId="269DF056" w14:textId="77777777">
      <w:pPr>
        <w:ind w:left="425"/>
        <w:jc w:val="both"/>
        <w:rPr>
          <w:rFonts w:cs="Arial"/>
          <w:szCs w:val="24"/>
        </w:rPr>
      </w:pPr>
      <w:r w:rsidRPr="00AC06D0">
        <w:rPr>
          <w:rFonts w:cs="Arial"/>
          <w:noProof/>
          <w:szCs w:val="24"/>
        </w:rPr>
        <w:drawing>
          <wp:inline distT="0" distB="0" distL="0" distR="0" wp14:anchorId="7EDD5285" wp14:editId="21820460">
            <wp:extent cx="5136543" cy="3454738"/>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11493" cy="3505148"/>
                    </a:xfrm>
                    <a:prstGeom prst="rect">
                      <a:avLst/>
                    </a:prstGeom>
                  </pic:spPr>
                </pic:pic>
              </a:graphicData>
            </a:graphic>
          </wp:inline>
        </w:drawing>
      </w:r>
    </w:p>
    <w:p w:rsidR="002422DC" w:rsidP="002422DC" w:rsidRDefault="002422DC" w14:paraId="1419CD51" w14:textId="77777777">
      <w:pPr>
        <w:ind w:left="425"/>
        <w:jc w:val="both"/>
        <w:rPr>
          <w:rFonts w:cs="Arial"/>
          <w:szCs w:val="24"/>
        </w:rPr>
      </w:pPr>
    </w:p>
    <w:p w:rsidR="002422DC" w:rsidP="002422DC" w:rsidRDefault="002422DC" w14:paraId="3CE65586" w14:textId="13EEA614">
      <w:pPr>
        <w:spacing w:line="264" w:lineRule="auto"/>
        <w:ind w:left="426"/>
        <w:jc w:val="both"/>
        <w:rPr>
          <w:rFonts w:cs="Arial"/>
          <w:sz w:val="22"/>
          <w:szCs w:val="22"/>
        </w:rPr>
      </w:pPr>
      <w:r w:rsidRPr="002422DC">
        <w:rPr>
          <w:rFonts w:cs="Arial"/>
          <w:sz w:val="22"/>
          <w:szCs w:val="22"/>
        </w:rPr>
        <w:t>One of the investment types employed by the Commissioner are Low Volatility Net Asset Value Funds (LVNAV). These are used because they are highly rated (AAA), and they work by spreading the investments over a wide range of high-quality counterparties that would be unavailable at the levels of investment monies available. This approach also helps to eliminate risk whilst maintaining liquidity.</w:t>
      </w:r>
    </w:p>
    <w:p w:rsidRPr="002422DC" w:rsidR="001D4AC6" w:rsidP="002422DC" w:rsidRDefault="001D4AC6" w14:paraId="45660084" w14:textId="77777777">
      <w:pPr>
        <w:spacing w:line="264" w:lineRule="auto"/>
        <w:ind w:left="426"/>
        <w:jc w:val="both"/>
        <w:rPr>
          <w:rFonts w:cs="Arial"/>
          <w:sz w:val="22"/>
          <w:szCs w:val="22"/>
        </w:rPr>
      </w:pPr>
    </w:p>
    <w:p w:rsidR="002422DC" w:rsidP="002422DC" w:rsidRDefault="002422DC" w14:paraId="6B6BB8E3" w14:textId="5C74BEDA">
      <w:pPr>
        <w:spacing w:line="264" w:lineRule="auto"/>
        <w:ind w:left="426"/>
        <w:jc w:val="both"/>
        <w:rPr>
          <w:sz w:val="22"/>
          <w:szCs w:val="22"/>
        </w:rPr>
      </w:pPr>
      <w:r w:rsidRPr="002422DC">
        <w:rPr>
          <w:rFonts w:cs="Arial"/>
          <w:sz w:val="22"/>
          <w:szCs w:val="22"/>
        </w:rPr>
        <w:t xml:space="preserve">They also have the advantage of being easy to manage via an online platform and are liquid to meet cash flow demands. Currently 4 are being utilised and a recent increase in the deposit capacity has been approved in the revised Treasury Strategy. Fixed term investments are with other local authorities or Banks which are also considered to be low risk. </w:t>
      </w:r>
      <w:r w:rsidRPr="002422DC">
        <w:rPr>
          <w:sz w:val="22"/>
          <w:szCs w:val="22"/>
        </w:rPr>
        <w:t>The interest rate on current account balances with Barclays is zero. </w:t>
      </w:r>
    </w:p>
    <w:p w:rsidRPr="002422DC" w:rsidR="001D4AC6" w:rsidP="002422DC" w:rsidRDefault="001D4AC6" w14:paraId="05CA9574" w14:textId="77777777">
      <w:pPr>
        <w:spacing w:line="264" w:lineRule="auto"/>
        <w:ind w:left="426"/>
        <w:jc w:val="both"/>
        <w:rPr>
          <w:sz w:val="22"/>
          <w:szCs w:val="22"/>
        </w:rPr>
      </w:pPr>
    </w:p>
    <w:p w:rsidRPr="002422DC" w:rsidR="002422DC" w:rsidP="002422DC" w:rsidRDefault="002422DC" w14:paraId="1EA0DA0C" w14:textId="77777777">
      <w:pPr>
        <w:spacing w:line="264" w:lineRule="auto"/>
        <w:ind w:left="426"/>
        <w:jc w:val="both"/>
        <w:rPr>
          <w:sz w:val="22"/>
          <w:szCs w:val="22"/>
        </w:rPr>
      </w:pPr>
      <w:r w:rsidRPr="002422DC">
        <w:rPr>
          <w:sz w:val="22"/>
          <w:szCs w:val="22"/>
        </w:rPr>
        <w:t>The new limits in the investment policy for LVNAVs were approved in August 2023 and these have increased to £15m, and £20m with the consent of the PCC CFO. (Previously these were £12m, and £15m).  Prior to these new limits being agreed we sought approval to use the maximum limit of £15m across all 4 funds, for the month of July.  This was due to the Pension top up grant of £40m being received w/c 3</w:t>
      </w:r>
      <w:r w:rsidRPr="002422DC">
        <w:rPr>
          <w:sz w:val="22"/>
          <w:szCs w:val="22"/>
          <w:vertAlign w:val="superscript"/>
        </w:rPr>
        <w:t>rd</w:t>
      </w:r>
      <w:r w:rsidRPr="002422DC">
        <w:rPr>
          <w:sz w:val="22"/>
          <w:szCs w:val="22"/>
        </w:rPr>
        <w:t xml:space="preserve"> July, Police Grant and Precept due £22m, and several investments circa £32m maturing during July. There were in total 23 days when a LVNAV fund balance was over £12m and up to £15m. </w:t>
      </w:r>
    </w:p>
    <w:p w:rsidRPr="002422DC" w:rsidR="002422DC" w:rsidP="002422DC" w:rsidRDefault="002422DC" w14:paraId="1BD9C252" w14:textId="77777777">
      <w:pPr>
        <w:spacing w:line="264" w:lineRule="auto"/>
        <w:ind w:left="426"/>
        <w:jc w:val="both"/>
        <w:rPr>
          <w:sz w:val="22"/>
          <w:szCs w:val="22"/>
        </w:rPr>
      </w:pPr>
      <w:r w:rsidRPr="002422DC">
        <w:rPr>
          <w:sz w:val="22"/>
          <w:szCs w:val="22"/>
        </w:rPr>
        <w:t>No other approved limits have been exceeded.</w:t>
      </w:r>
    </w:p>
    <w:p w:rsidRPr="002422DC" w:rsidR="002422DC" w:rsidP="002422DC" w:rsidRDefault="002422DC" w14:paraId="0C0093F7" w14:textId="77777777">
      <w:pPr>
        <w:spacing w:before="240" w:after="120" w:line="271" w:lineRule="auto"/>
        <w:ind w:left="426" w:hanging="710"/>
        <w:jc w:val="both"/>
        <w:rPr>
          <w:rFonts w:cs="Arial"/>
          <w:b/>
          <w:bCs/>
          <w:sz w:val="22"/>
          <w:szCs w:val="22"/>
        </w:rPr>
      </w:pPr>
      <w:r w:rsidRPr="002422DC">
        <w:rPr>
          <w:rFonts w:cs="Arial"/>
          <w:b/>
          <w:bCs/>
          <w:sz w:val="22"/>
          <w:szCs w:val="22"/>
        </w:rPr>
        <w:t>5.2</w:t>
      </w:r>
      <w:r w:rsidRPr="002422DC">
        <w:rPr>
          <w:rFonts w:cs="Arial"/>
          <w:b/>
          <w:bCs/>
          <w:sz w:val="22"/>
          <w:szCs w:val="22"/>
        </w:rPr>
        <w:tab/>
        <w:t>Investment Counterparty criteria</w:t>
      </w:r>
    </w:p>
    <w:p w:rsidR="002422DC" w:rsidP="002422DC" w:rsidRDefault="002422DC" w14:paraId="0D392BD9" w14:textId="7E9B86F5">
      <w:pPr>
        <w:spacing w:line="271" w:lineRule="auto"/>
        <w:ind w:left="426"/>
        <w:jc w:val="both"/>
        <w:rPr>
          <w:rFonts w:eastAsia="Bliss 2 Regular" w:cs="Arial"/>
          <w:sz w:val="22"/>
          <w:szCs w:val="22"/>
        </w:rPr>
      </w:pPr>
      <w:r w:rsidRPr="002422DC">
        <w:rPr>
          <w:rFonts w:eastAsia="Bliss 2 Regular" w:cs="Arial"/>
          <w:sz w:val="22"/>
          <w:szCs w:val="22"/>
        </w:rPr>
        <w:t>The Commissioner’s investment policy has regard to Department for Levelling Up, Housing and Communities (DLUHC) and the revised CIPFA Treasury Management in Public Services Code of Practice and Cross Sector Guidance Notes (“the CIPFA TM Code”). The continuing potential for a re-emergence of a Eurozone sovereign debt crisis together with other risks which could impact on the creditworthiness of banks, prompts a low-risk strategy. Therefore, the Commissioner’s investment priorities in order of importance will be security, liquidity and return.</w:t>
      </w:r>
    </w:p>
    <w:p w:rsidRPr="002422DC" w:rsidR="001D4AC6" w:rsidP="002422DC" w:rsidRDefault="001D4AC6" w14:paraId="2F956056" w14:textId="77777777">
      <w:pPr>
        <w:spacing w:line="271" w:lineRule="auto"/>
        <w:ind w:left="426"/>
        <w:jc w:val="both"/>
        <w:rPr>
          <w:rFonts w:eastAsia="Bliss 2 Regular" w:cs="Arial"/>
          <w:sz w:val="22"/>
          <w:szCs w:val="22"/>
        </w:rPr>
      </w:pPr>
    </w:p>
    <w:p w:rsidRPr="002422DC" w:rsidR="002422DC" w:rsidP="002422DC" w:rsidRDefault="002422DC" w14:paraId="6553D163" w14:textId="77777777">
      <w:pPr>
        <w:tabs>
          <w:tab w:val="num" w:pos="0"/>
        </w:tabs>
        <w:spacing w:before="60" w:after="60" w:line="271" w:lineRule="auto"/>
        <w:ind w:left="426"/>
        <w:jc w:val="both"/>
        <w:rPr>
          <w:rFonts w:eastAsia="Bliss 2 Regular" w:cs="Arial"/>
          <w:sz w:val="22"/>
          <w:szCs w:val="22"/>
        </w:rPr>
      </w:pPr>
      <w:r w:rsidRPr="002422DC">
        <w:rPr>
          <w:rFonts w:eastAsia="Bliss 2 Regular" w:cs="Arial"/>
          <w:sz w:val="22"/>
          <w:szCs w:val="22"/>
        </w:rPr>
        <w:t xml:space="preserve">The maximum exposure to the investment markets in the year to date was on 11th July 2023, when £108.1m (as a result of Police Grant, Top-Up Grant, Pensions Grant and Precept) was placed within the markets. </w:t>
      </w:r>
    </w:p>
    <w:p w:rsidRPr="002422DC" w:rsidR="002422DC" w:rsidP="002422DC" w:rsidRDefault="002422DC" w14:paraId="5B94AD96" w14:textId="77777777">
      <w:pPr>
        <w:tabs>
          <w:tab w:val="num" w:pos="0"/>
        </w:tabs>
        <w:spacing w:before="60" w:after="60" w:line="271" w:lineRule="auto"/>
        <w:ind w:left="426"/>
        <w:jc w:val="both"/>
        <w:rPr>
          <w:rFonts w:eastAsia="Bliss 2 Regular" w:cs="Arial"/>
          <w:sz w:val="22"/>
          <w:szCs w:val="22"/>
        </w:rPr>
      </w:pPr>
    </w:p>
    <w:p w:rsidRPr="002422DC" w:rsidR="002422DC" w:rsidP="002422DC" w:rsidRDefault="002422DC" w14:paraId="71D43F89" w14:textId="77777777">
      <w:pPr>
        <w:ind w:left="426" w:hanging="710"/>
        <w:jc w:val="both"/>
        <w:rPr>
          <w:rFonts w:eastAsia="Bliss 2 Regular" w:cs="Arial"/>
          <w:b/>
          <w:bCs/>
          <w:sz w:val="22"/>
          <w:szCs w:val="22"/>
        </w:rPr>
      </w:pPr>
      <w:r w:rsidRPr="002422DC">
        <w:rPr>
          <w:rFonts w:eastAsia="Bliss 2 Regular" w:cs="Arial"/>
          <w:b/>
          <w:bCs/>
          <w:sz w:val="22"/>
          <w:szCs w:val="22"/>
        </w:rPr>
        <w:t>5.3</w:t>
      </w:r>
      <w:r w:rsidRPr="002422DC">
        <w:rPr>
          <w:rFonts w:eastAsia="Bliss 2 Regular" w:cs="Arial"/>
          <w:b/>
          <w:bCs/>
          <w:sz w:val="22"/>
          <w:szCs w:val="22"/>
        </w:rPr>
        <w:tab/>
        <w:t xml:space="preserve">Creditworthiness policy </w:t>
      </w:r>
    </w:p>
    <w:p w:rsidRPr="002422DC" w:rsidR="002422DC" w:rsidP="002422DC" w:rsidRDefault="002422DC" w14:paraId="7696681F" w14:textId="77777777">
      <w:pPr>
        <w:jc w:val="both"/>
        <w:rPr>
          <w:rFonts w:eastAsia="Bliss 2 Regular" w:cs="Arial"/>
          <w:sz w:val="22"/>
          <w:szCs w:val="22"/>
        </w:rPr>
      </w:pPr>
    </w:p>
    <w:p w:rsidRPr="002422DC" w:rsidR="002422DC" w:rsidP="002422DC" w:rsidRDefault="002422DC" w14:paraId="0325691F" w14:textId="77777777">
      <w:pPr>
        <w:spacing w:before="60" w:after="60" w:line="271" w:lineRule="auto"/>
        <w:ind w:left="426"/>
        <w:jc w:val="both"/>
        <w:rPr>
          <w:rFonts w:eastAsia="Bliss 2 Regular" w:cs="Arial"/>
          <w:sz w:val="22"/>
          <w:szCs w:val="22"/>
        </w:rPr>
      </w:pPr>
      <w:r w:rsidRPr="002422DC">
        <w:rPr>
          <w:rFonts w:eastAsia="Bliss 2 Regular" w:cs="Arial"/>
          <w:sz w:val="22"/>
          <w:szCs w:val="22"/>
        </w:rPr>
        <w:t xml:space="preserve">The Chief Constables (CC) CFO will maintain a counterparty list in compliance with the following criteria and will revise the criteria and submit them to the PCC for approval as necessary. The minimum rating criteria uses the lowest common denominator method of selecting counterparties and applying limits, the table below is the current list used during the reporting period covered by this report. </w:t>
      </w:r>
    </w:p>
    <w:p w:rsidRPr="002422DC" w:rsidR="002422DC" w:rsidP="002422DC" w:rsidRDefault="002422DC" w14:paraId="4D3E877A" w14:textId="77777777">
      <w:pPr>
        <w:spacing w:before="60" w:after="60" w:line="271" w:lineRule="auto"/>
        <w:ind w:left="426"/>
        <w:jc w:val="both"/>
        <w:rPr>
          <w:rFonts w:eastAsia="Bliss 2 Regular" w:cs="Arial"/>
          <w:sz w:val="22"/>
          <w:szCs w:val="22"/>
        </w:rPr>
      </w:pPr>
    </w:p>
    <w:p w:rsidR="002422DC" w:rsidP="002422DC" w:rsidRDefault="002422DC" w14:paraId="72E03C85" w14:textId="77777777">
      <w:pPr>
        <w:jc w:val="both"/>
        <w:rPr>
          <w:rFonts w:eastAsia="Bliss 2 Regular" w:cs="Arial"/>
          <w:szCs w:val="24"/>
        </w:rPr>
      </w:pPr>
      <w:r>
        <w:rPr>
          <w:noProof/>
        </w:rPr>
        <w:lastRenderedPageBreak/>
        <w:drawing>
          <wp:inline distT="0" distB="0" distL="0" distR="0" wp14:anchorId="07B7E3B5" wp14:editId="460F7634">
            <wp:extent cx="5709037" cy="4973342"/>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15706" cy="4979152"/>
                    </a:xfrm>
                    <a:prstGeom prst="rect">
                      <a:avLst/>
                    </a:prstGeom>
                  </pic:spPr>
                </pic:pic>
              </a:graphicData>
            </a:graphic>
          </wp:inline>
        </w:drawing>
      </w:r>
    </w:p>
    <w:p w:rsidR="002422DC" w:rsidP="002422DC" w:rsidRDefault="002422DC" w14:paraId="1F7EAC0F" w14:textId="77777777">
      <w:pPr>
        <w:rPr>
          <w:rFonts w:eastAsia="Bliss 2 Regular" w:cs="Arial"/>
          <w:szCs w:val="24"/>
        </w:rPr>
      </w:pPr>
    </w:p>
    <w:p w:rsidRPr="002422DC" w:rsidR="002422DC" w:rsidP="002422DC" w:rsidRDefault="002422DC" w14:paraId="599B8B19" w14:textId="77777777">
      <w:pPr>
        <w:ind w:left="426" w:hanging="710"/>
        <w:jc w:val="both"/>
        <w:rPr>
          <w:rFonts w:eastAsia="Bliss 2 Regular"/>
          <w:b/>
          <w:bCs/>
          <w:sz w:val="22"/>
          <w:szCs w:val="22"/>
        </w:rPr>
      </w:pPr>
      <w:r w:rsidRPr="00AC06D0">
        <w:rPr>
          <w:rFonts w:eastAsia="Bliss 2 Regular"/>
          <w:b/>
          <w:bCs/>
        </w:rPr>
        <w:t>5.4</w:t>
      </w:r>
      <w:r w:rsidRPr="00AC06D0">
        <w:rPr>
          <w:rFonts w:eastAsia="Bliss 2 Regular"/>
          <w:b/>
          <w:bCs/>
        </w:rPr>
        <w:tab/>
      </w:r>
      <w:r w:rsidRPr="002422DC">
        <w:rPr>
          <w:rFonts w:eastAsia="Bliss 2 Regular"/>
          <w:b/>
          <w:bCs/>
          <w:sz w:val="22"/>
          <w:szCs w:val="22"/>
        </w:rPr>
        <w:t>Borrowing</w:t>
      </w:r>
    </w:p>
    <w:p w:rsidRPr="002422DC" w:rsidR="002422DC" w:rsidP="002422DC" w:rsidRDefault="002422DC" w14:paraId="3F341B25" w14:textId="77777777">
      <w:pPr>
        <w:ind w:left="426" w:hanging="710"/>
        <w:jc w:val="both"/>
        <w:rPr>
          <w:rFonts w:eastAsia="Bliss 2 Regular"/>
          <w:b/>
          <w:bCs/>
          <w:sz w:val="22"/>
          <w:szCs w:val="22"/>
        </w:rPr>
      </w:pPr>
    </w:p>
    <w:p w:rsidRPr="002422DC" w:rsidR="002422DC" w:rsidP="002422DC" w:rsidRDefault="002422DC" w14:paraId="4D0224D8" w14:textId="77777777">
      <w:pPr>
        <w:spacing w:before="60" w:after="60" w:line="271" w:lineRule="auto"/>
        <w:ind w:left="426"/>
        <w:jc w:val="both"/>
        <w:rPr>
          <w:rFonts w:eastAsia="Bliss 2 Regular" w:cs="Arial"/>
          <w:sz w:val="22"/>
          <w:szCs w:val="22"/>
        </w:rPr>
      </w:pPr>
      <w:r w:rsidRPr="002422DC">
        <w:rPr>
          <w:rFonts w:eastAsia="Bliss 2 Regular" w:cs="Arial"/>
          <w:sz w:val="22"/>
          <w:szCs w:val="22"/>
        </w:rPr>
        <w:t>The Capital Financing Requirement (CFR) for 2023-24 is estimated to be £62.8m. The CFR denotes the underlying need to borrow for capital purposes. If the CFR is positive monies may be borrowed (external borrowing) or from internal balances on a temporary basis (internal borrowing). The balance of external and internal borrowing is generally driven by market conditions and level of reserves. The table below shows activity on borrowings to 30th September 2023.</w:t>
      </w:r>
    </w:p>
    <w:p w:rsidR="002422DC" w:rsidP="002422DC" w:rsidRDefault="002422DC" w14:paraId="664C5A78" w14:textId="77777777">
      <w:pPr>
        <w:ind w:left="425"/>
        <w:jc w:val="both"/>
        <w:rPr>
          <w:rFonts w:cs="Arial"/>
          <w:szCs w:val="24"/>
        </w:rPr>
      </w:pPr>
      <w:r w:rsidRPr="00AC06D0">
        <w:rPr>
          <w:rFonts w:cs="Arial"/>
          <w:noProof/>
          <w:szCs w:val="24"/>
        </w:rPr>
        <w:lastRenderedPageBreak/>
        <w:drawing>
          <wp:inline distT="0" distB="0" distL="0" distR="0" wp14:anchorId="0FE8F5D8" wp14:editId="6C8F291B">
            <wp:extent cx="5454595" cy="26140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65236" cy="2619124"/>
                    </a:xfrm>
                    <a:prstGeom prst="rect">
                      <a:avLst/>
                    </a:prstGeom>
                  </pic:spPr>
                </pic:pic>
              </a:graphicData>
            </a:graphic>
          </wp:inline>
        </w:drawing>
      </w:r>
    </w:p>
    <w:p w:rsidR="002422DC" w:rsidP="002422DC" w:rsidRDefault="002422DC" w14:paraId="1A378BEE" w14:textId="77777777">
      <w:pPr>
        <w:ind w:left="425"/>
        <w:jc w:val="both"/>
        <w:rPr>
          <w:rFonts w:cs="Arial"/>
          <w:szCs w:val="24"/>
        </w:rPr>
      </w:pPr>
    </w:p>
    <w:p w:rsidR="001D4AC6" w:rsidP="002422DC" w:rsidRDefault="001D4AC6" w14:paraId="788FAE1C" w14:textId="77777777">
      <w:pPr>
        <w:ind w:left="426"/>
        <w:jc w:val="both"/>
        <w:rPr>
          <w:rFonts w:cs="Arial"/>
          <w:sz w:val="22"/>
          <w:szCs w:val="22"/>
        </w:rPr>
      </w:pPr>
    </w:p>
    <w:p w:rsidR="002422DC" w:rsidP="002422DC" w:rsidRDefault="002422DC" w14:paraId="5FFFF73C" w14:textId="3EC34E6F">
      <w:pPr>
        <w:ind w:left="426"/>
        <w:jc w:val="both"/>
        <w:rPr>
          <w:rFonts w:cs="Arial"/>
          <w:sz w:val="22"/>
          <w:szCs w:val="22"/>
        </w:rPr>
      </w:pPr>
      <w:r w:rsidRPr="002422DC">
        <w:rPr>
          <w:rFonts w:cs="Arial"/>
          <w:sz w:val="22"/>
          <w:szCs w:val="22"/>
        </w:rPr>
        <w:t xml:space="preserve">By the year end it is anticipated that there will be external borrowing of £63.2m compared to the current CFR of £62.8m, £85m being the operational limit for borrowing as detailed in the Treasury Management Strategy. </w:t>
      </w:r>
    </w:p>
    <w:p w:rsidRPr="002422DC" w:rsidR="001D4AC6" w:rsidP="002422DC" w:rsidRDefault="001D4AC6" w14:paraId="65A4D096" w14:textId="77777777">
      <w:pPr>
        <w:ind w:left="426"/>
        <w:jc w:val="both"/>
        <w:rPr>
          <w:rFonts w:cs="Arial"/>
          <w:sz w:val="22"/>
          <w:szCs w:val="22"/>
        </w:rPr>
      </w:pPr>
    </w:p>
    <w:p w:rsidR="002422DC" w:rsidP="002422DC" w:rsidRDefault="002422DC" w14:paraId="79BCA776" w14:textId="7EE309A4">
      <w:pPr>
        <w:ind w:left="426"/>
        <w:jc w:val="both"/>
        <w:rPr>
          <w:rFonts w:cs="Arial"/>
          <w:sz w:val="22"/>
          <w:szCs w:val="22"/>
        </w:rPr>
      </w:pPr>
      <w:r w:rsidRPr="002422DC">
        <w:rPr>
          <w:rFonts w:cs="Arial"/>
          <w:sz w:val="22"/>
          <w:szCs w:val="22"/>
        </w:rPr>
        <w:t>The actual amount borrowed, and the timing thereof is at the judgement of the CC CFO with due regard to market conditions. There has been no PWLB or other long-term borrowing in 2023/24 up to 30</w:t>
      </w:r>
      <w:r w:rsidRPr="002422DC">
        <w:rPr>
          <w:rFonts w:cs="Arial"/>
          <w:sz w:val="22"/>
          <w:szCs w:val="22"/>
          <w:vertAlign w:val="superscript"/>
        </w:rPr>
        <w:t>th</w:t>
      </w:r>
      <w:r w:rsidRPr="002422DC">
        <w:rPr>
          <w:rFonts w:cs="Arial"/>
          <w:sz w:val="22"/>
          <w:szCs w:val="22"/>
        </w:rPr>
        <w:t xml:space="preserve"> September 2023 and it is not expected that any additional borrowing will be undertaken during the remainder of the financial year.</w:t>
      </w:r>
    </w:p>
    <w:p w:rsidRPr="002422DC" w:rsidR="001D4AC6" w:rsidP="002422DC" w:rsidRDefault="001D4AC6" w14:paraId="66F5E225" w14:textId="77777777">
      <w:pPr>
        <w:ind w:left="426"/>
        <w:jc w:val="both"/>
        <w:rPr>
          <w:rFonts w:cs="Arial"/>
          <w:sz w:val="22"/>
          <w:szCs w:val="22"/>
        </w:rPr>
      </w:pPr>
    </w:p>
    <w:p w:rsidRPr="002422DC" w:rsidR="002422DC" w:rsidP="002422DC" w:rsidRDefault="002422DC" w14:paraId="557164EF" w14:textId="77777777">
      <w:pPr>
        <w:ind w:left="426"/>
        <w:jc w:val="both"/>
        <w:rPr>
          <w:sz w:val="22"/>
          <w:szCs w:val="22"/>
        </w:rPr>
      </w:pPr>
      <w:r w:rsidRPr="002422DC">
        <w:rPr>
          <w:sz w:val="22"/>
          <w:szCs w:val="22"/>
        </w:rPr>
        <w:t xml:space="preserve">PWLB certainty rates were on a generally rising trend throughout the first half of 2023/24.  At the beginning of April, the 5-year rate was the cheapest part of the curve and touched 4.14% whilst the 25-year rate was relatively expensive at 4.58%.  </w:t>
      </w:r>
    </w:p>
    <w:p w:rsidRPr="002422DC" w:rsidR="002422DC" w:rsidP="002422DC" w:rsidRDefault="002422DC" w14:paraId="7A3A0375" w14:textId="77777777">
      <w:pPr>
        <w:jc w:val="both"/>
        <w:rPr>
          <w:sz w:val="22"/>
          <w:szCs w:val="22"/>
        </w:rPr>
      </w:pPr>
    </w:p>
    <w:p w:rsidRPr="002422DC" w:rsidR="002422DC" w:rsidP="002422DC" w:rsidRDefault="002422DC" w14:paraId="1EA38928" w14:textId="77777777">
      <w:pPr>
        <w:ind w:left="426"/>
        <w:jc w:val="both"/>
        <w:rPr>
          <w:sz w:val="22"/>
          <w:szCs w:val="22"/>
        </w:rPr>
      </w:pPr>
      <w:r w:rsidRPr="002422DC">
        <w:rPr>
          <w:sz w:val="22"/>
          <w:szCs w:val="22"/>
        </w:rPr>
        <w:t>July saw short-dated rates peak at their most expensive.  The 1-year rate spiked to 6.36% and the 5-year rate to 5.93%.  Although, in due course, short-dated rate expectations fell, the medium dates shifted higher through August and the 10-year rate pushed higher to 5.51% and the 25-year rate to 5.73%.  The 50-year rate was 4.27% on 5</w:t>
      </w:r>
      <w:r w:rsidRPr="002422DC">
        <w:rPr>
          <w:sz w:val="22"/>
          <w:szCs w:val="22"/>
          <w:vertAlign w:val="superscript"/>
        </w:rPr>
        <w:t>th</w:t>
      </w:r>
      <w:r w:rsidRPr="002422DC">
        <w:rPr>
          <w:sz w:val="22"/>
          <w:szCs w:val="22"/>
        </w:rPr>
        <w:t xml:space="preserve"> April but rose to 5.45% on 28</w:t>
      </w:r>
      <w:r w:rsidRPr="002422DC">
        <w:rPr>
          <w:sz w:val="22"/>
          <w:szCs w:val="22"/>
          <w:vertAlign w:val="superscript"/>
        </w:rPr>
        <w:t>th</w:t>
      </w:r>
      <w:r w:rsidRPr="002422DC">
        <w:rPr>
          <w:sz w:val="22"/>
          <w:szCs w:val="22"/>
        </w:rPr>
        <w:t xml:space="preserve"> September.  </w:t>
      </w:r>
    </w:p>
    <w:p w:rsidR="002422DC" w:rsidP="002422DC" w:rsidRDefault="002422DC" w14:paraId="02D17B82" w14:textId="77777777">
      <w:pPr>
        <w:spacing w:line="271" w:lineRule="auto"/>
        <w:ind w:left="426"/>
        <w:jc w:val="both"/>
        <w:rPr>
          <w:rFonts w:cs="Arial"/>
          <w:szCs w:val="24"/>
        </w:rPr>
      </w:pPr>
    </w:p>
    <w:p w:rsidRPr="003863EC" w:rsidR="002422DC" w:rsidP="002422DC" w:rsidRDefault="002422DC" w14:paraId="397BD1A4" w14:textId="77777777">
      <w:pPr>
        <w:spacing w:line="271" w:lineRule="auto"/>
        <w:ind w:left="426"/>
        <w:jc w:val="both"/>
        <w:rPr>
          <w:rFonts w:cs="Arial"/>
          <w:szCs w:val="24"/>
          <w:highlight w:val="yellow"/>
        </w:rPr>
      </w:pPr>
      <w:r>
        <w:rPr>
          <w:noProof/>
        </w:rPr>
        <w:drawing>
          <wp:inline distT="0" distB="0" distL="0" distR="0" wp14:anchorId="7052C5EC" wp14:editId="08479F9F">
            <wp:extent cx="5557962" cy="1479163"/>
            <wp:effectExtent l="0" t="0" r="508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76212" cy="1484020"/>
                    </a:xfrm>
                    <a:prstGeom prst="rect">
                      <a:avLst/>
                    </a:prstGeom>
                  </pic:spPr>
                </pic:pic>
              </a:graphicData>
            </a:graphic>
          </wp:inline>
        </w:drawing>
      </w:r>
    </w:p>
    <w:p w:rsidRPr="003863EC" w:rsidR="002422DC" w:rsidP="002422DC" w:rsidRDefault="002422DC" w14:paraId="5E2648E2" w14:textId="77777777">
      <w:pPr>
        <w:spacing w:line="271" w:lineRule="auto"/>
        <w:ind w:left="426"/>
        <w:jc w:val="both"/>
        <w:rPr>
          <w:rFonts w:cs="Arial"/>
          <w:szCs w:val="24"/>
          <w:highlight w:val="yellow"/>
        </w:rPr>
      </w:pPr>
      <w:r>
        <w:rPr>
          <w:noProof/>
        </w:rPr>
        <w:lastRenderedPageBreak/>
        <w:drawing>
          <wp:inline distT="0" distB="0" distL="0" distR="0" wp14:anchorId="6CB43056" wp14:editId="57AF34F3">
            <wp:extent cx="4704195" cy="2750705"/>
            <wp:effectExtent l="0" t="0" r="1270" b="0"/>
            <wp:docPr id="1" name="Chart 1">
              <a:extLst xmlns:a="http://schemas.openxmlformats.org/drawingml/2006/main">
                <a:ext uri="{FF2B5EF4-FFF2-40B4-BE49-F238E27FC236}">
                  <a16:creationId xmlns:a16="http://schemas.microsoft.com/office/drawing/2014/main" id="{2E454BFB-8C4A-4475-AA35-F051442C51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W w:w="96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634"/>
      </w:tblGrid>
      <w:tr w:rsidRPr="002422DC" w:rsidR="002422DC" w:rsidTr="0030311C" w14:paraId="569D37C4" w14:textId="77777777">
        <w:tc>
          <w:tcPr>
            <w:tcW w:w="9634" w:type="dxa"/>
          </w:tcPr>
          <w:p w:rsidRPr="002422DC" w:rsidR="002422DC" w:rsidP="0030311C" w:rsidRDefault="002422DC" w14:paraId="7DC701CE" w14:textId="77777777">
            <w:pPr>
              <w:pStyle w:val="NoSpacing"/>
              <w:jc w:val="both"/>
              <w:rPr>
                <w:rFonts w:ascii="Arial" w:hAnsi="Arial" w:cs="Arial"/>
                <w:b/>
              </w:rPr>
            </w:pPr>
            <w:r w:rsidRPr="002422DC">
              <w:rPr>
                <w:rFonts w:ascii="Arial" w:hAnsi="Arial" w:cs="Arial"/>
                <w:b/>
              </w:rPr>
              <w:t>6. Review of Minimum Revenue Provision Policy Statement</w:t>
            </w:r>
          </w:p>
        </w:tc>
      </w:tr>
    </w:tbl>
    <w:p w:rsidR="002422DC" w:rsidP="002422DC" w:rsidRDefault="002422DC" w14:paraId="687144D3" w14:textId="77777777">
      <w:pPr>
        <w:spacing w:line="271" w:lineRule="auto"/>
        <w:ind w:left="426" w:hanging="710"/>
        <w:jc w:val="both"/>
        <w:rPr>
          <w:rFonts w:cs="Arial"/>
          <w:szCs w:val="24"/>
        </w:rPr>
      </w:pPr>
    </w:p>
    <w:p w:rsidR="002422DC" w:rsidP="002422DC" w:rsidRDefault="002422DC" w14:paraId="5C6A3EB3" w14:textId="01F1922B">
      <w:pPr>
        <w:rPr>
          <w:sz w:val="22"/>
          <w:szCs w:val="22"/>
        </w:rPr>
      </w:pPr>
      <w:r w:rsidRPr="002422DC">
        <w:rPr>
          <w:sz w:val="22"/>
          <w:szCs w:val="22"/>
        </w:rPr>
        <w:t>6.1</w:t>
      </w:r>
      <w:r w:rsidRPr="002422DC">
        <w:rPr>
          <w:sz w:val="22"/>
          <w:szCs w:val="22"/>
        </w:rPr>
        <w:tab/>
        <w:t>Introduction</w:t>
      </w:r>
    </w:p>
    <w:p w:rsidRPr="002422DC" w:rsidR="001D4AC6" w:rsidP="002422DC" w:rsidRDefault="001D4AC6" w14:paraId="2B811E3D" w14:textId="77777777">
      <w:pPr>
        <w:rPr>
          <w:sz w:val="22"/>
          <w:szCs w:val="22"/>
        </w:rPr>
      </w:pPr>
    </w:p>
    <w:p w:rsidR="002422DC" w:rsidP="002422DC" w:rsidRDefault="002422DC" w14:paraId="72F43004" w14:textId="3779A9C4">
      <w:pPr>
        <w:rPr>
          <w:sz w:val="22"/>
          <w:szCs w:val="22"/>
        </w:rPr>
      </w:pPr>
      <w:r w:rsidRPr="002422DC">
        <w:rPr>
          <w:sz w:val="22"/>
          <w:szCs w:val="22"/>
        </w:rPr>
        <w:t>The Organisation repays each year part of the accumulated capital spend (CFR) through a revenue charge (MRP). An additional voluntary payment may also be made (VRP). The MRP can be calculated in various ways, but the overarching principles are that the repayment must be prudent and affordable.</w:t>
      </w:r>
    </w:p>
    <w:p w:rsidRPr="002422DC" w:rsidR="001D4AC6" w:rsidP="002422DC" w:rsidRDefault="001D4AC6" w14:paraId="51728384" w14:textId="77777777">
      <w:pPr>
        <w:rPr>
          <w:sz w:val="22"/>
          <w:szCs w:val="22"/>
        </w:rPr>
      </w:pPr>
    </w:p>
    <w:p w:rsidR="002422DC" w:rsidP="002422DC" w:rsidRDefault="002422DC" w14:paraId="1CE3053D" w14:textId="1371E0DC">
      <w:pPr>
        <w:rPr>
          <w:sz w:val="22"/>
          <w:szCs w:val="22"/>
        </w:rPr>
      </w:pPr>
      <w:r w:rsidRPr="002422DC">
        <w:rPr>
          <w:sz w:val="22"/>
          <w:szCs w:val="22"/>
        </w:rPr>
        <w:t>6.2</w:t>
      </w:r>
      <w:r w:rsidRPr="002422DC">
        <w:rPr>
          <w:sz w:val="22"/>
          <w:szCs w:val="22"/>
        </w:rPr>
        <w:tab/>
        <w:t>The Stated Policy</w:t>
      </w:r>
    </w:p>
    <w:p w:rsidRPr="002422DC" w:rsidR="001D4AC6" w:rsidP="002422DC" w:rsidRDefault="001D4AC6" w14:paraId="12CC021C" w14:textId="77777777">
      <w:pPr>
        <w:rPr>
          <w:sz w:val="22"/>
          <w:szCs w:val="22"/>
        </w:rPr>
      </w:pPr>
    </w:p>
    <w:p w:rsidRPr="002422DC" w:rsidR="002422DC" w:rsidP="002422DC" w:rsidRDefault="002422DC" w14:paraId="4C4CAB55" w14:textId="77777777">
      <w:pPr>
        <w:rPr>
          <w:sz w:val="22"/>
          <w:szCs w:val="22"/>
        </w:rPr>
      </w:pPr>
      <w:r w:rsidRPr="002422DC">
        <w:rPr>
          <w:sz w:val="22"/>
          <w:szCs w:val="22"/>
        </w:rPr>
        <w:t>The existing policy was approved by The Commissioner and is as follows:</w:t>
      </w:r>
    </w:p>
    <w:p w:rsidR="002422DC" w:rsidP="002422DC" w:rsidRDefault="002422DC" w14:paraId="3455C23B" w14:textId="312C4B73">
      <w:pPr>
        <w:rPr>
          <w:i/>
          <w:iCs/>
          <w:sz w:val="22"/>
          <w:szCs w:val="22"/>
        </w:rPr>
      </w:pPr>
      <w:r w:rsidRPr="002422DC">
        <w:rPr>
          <w:i/>
          <w:iCs/>
          <w:sz w:val="22"/>
          <w:szCs w:val="22"/>
        </w:rPr>
        <w:t>The Commissioner will set aside an amount for MRP each year, which is deemed to be both prudent and affordable. This will be after considering statutory requirements and relevant guidance from DLUHC.</w:t>
      </w:r>
    </w:p>
    <w:p w:rsidRPr="002422DC" w:rsidR="001D4AC6" w:rsidP="002422DC" w:rsidRDefault="001D4AC6" w14:paraId="0B575538" w14:textId="77777777">
      <w:pPr>
        <w:rPr>
          <w:i/>
          <w:iCs/>
          <w:sz w:val="22"/>
          <w:szCs w:val="22"/>
        </w:rPr>
      </w:pPr>
    </w:p>
    <w:p w:rsidR="002422DC" w:rsidP="002422DC" w:rsidRDefault="002422DC" w14:paraId="59092FEB" w14:textId="306D0209">
      <w:pPr>
        <w:rPr>
          <w:i/>
          <w:iCs/>
          <w:sz w:val="22"/>
          <w:szCs w:val="22"/>
        </w:rPr>
      </w:pPr>
      <w:r w:rsidRPr="002422DC">
        <w:rPr>
          <w:i/>
          <w:iCs/>
          <w:sz w:val="22"/>
          <w:szCs w:val="22"/>
        </w:rPr>
        <w:t>Repayments included in annual PFI, or finance leases are applied as MRP.</w:t>
      </w:r>
    </w:p>
    <w:p w:rsidRPr="002422DC" w:rsidR="001D4AC6" w:rsidP="002422DC" w:rsidRDefault="001D4AC6" w14:paraId="60F3F20D" w14:textId="77777777">
      <w:pPr>
        <w:rPr>
          <w:i/>
          <w:iCs/>
          <w:sz w:val="22"/>
          <w:szCs w:val="22"/>
        </w:rPr>
      </w:pPr>
    </w:p>
    <w:p w:rsidRPr="002422DC" w:rsidR="002422DC" w:rsidP="002422DC" w:rsidRDefault="002422DC" w14:paraId="50802615" w14:textId="77777777">
      <w:pPr>
        <w:rPr>
          <w:sz w:val="22"/>
          <w:szCs w:val="22"/>
        </w:rPr>
      </w:pPr>
      <w:r w:rsidRPr="002422DC">
        <w:rPr>
          <w:sz w:val="22"/>
          <w:szCs w:val="22"/>
        </w:rPr>
        <w:t>It is considered that this policy is both prudent and affordable, therefore no changes are proposed.</w:t>
      </w:r>
    </w:p>
    <w:p w:rsidRPr="00A87A37" w:rsidR="002422DC" w:rsidP="002422DC" w:rsidRDefault="002422DC" w14:paraId="5F41DA0E" w14:textId="77777777">
      <w:pPr>
        <w:pStyle w:val="NoSpacing"/>
        <w:ind w:left="709"/>
        <w:jc w:val="both"/>
        <w:rPr>
          <w:rFonts w:ascii="Arial" w:hAnsi="Arial" w:cs="Arial"/>
          <w:sz w:val="24"/>
          <w:szCs w:val="24"/>
          <w:highlight w:val="yellow"/>
        </w:rPr>
      </w:pPr>
    </w:p>
    <w:tbl>
      <w:tblPr>
        <w:tblW w:w="96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634"/>
      </w:tblGrid>
      <w:tr w:rsidRPr="002422DC" w:rsidR="002422DC" w:rsidTr="0030311C" w14:paraId="37EDF5BA" w14:textId="77777777">
        <w:tc>
          <w:tcPr>
            <w:tcW w:w="9634" w:type="dxa"/>
          </w:tcPr>
          <w:p w:rsidRPr="002422DC" w:rsidR="002422DC" w:rsidP="0030311C" w:rsidRDefault="002422DC" w14:paraId="7C573089" w14:textId="77777777">
            <w:pPr>
              <w:pStyle w:val="NoSpacing"/>
              <w:jc w:val="both"/>
              <w:rPr>
                <w:rFonts w:ascii="Arial" w:hAnsi="Arial" w:cs="Arial"/>
                <w:b/>
              </w:rPr>
            </w:pPr>
            <w:r w:rsidRPr="002422DC">
              <w:rPr>
                <w:rFonts w:ascii="Arial" w:hAnsi="Arial" w:cs="Arial"/>
                <w:b/>
              </w:rPr>
              <w:t>7. Human Resources Implications</w:t>
            </w:r>
          </w:p>
        </w:tc>
      </w:tr>
    </w:tbl>
    <w:p w:rsidRPr="002422DC" w:rsidR="002422DC" w:rsidP="002422DC" w:rsidRDefault="002422DC" w14:paraId="3EF8A115" w14:textId="77777777">
      <w:pPr>
        <w:pStyle w:val="NoSpacing"/>
        <w:jc w:val="both"/>
        <w:rPr>
          <w:rFonts w:ascii="Arial" w:hAnsi="Arial" w:cs="Arial"/>
        </w:rPr>
      </w:pPr>
    </w:p>
    <w:p w:rsidRPr="002422DC" w:rsidR="002422DC" w:rsidP="002422DC" w:rsidRDefault="002422DC" w14:paraId="63488B87" w14:textId="77777777">
      <w:pPr>
        <w:pStyle w:val="NoSpacing"/>
        <w:jc w:val="both"/>
        <w:rPr>
          <w:rFonts w:ascii="Arial" w:hAnsi="Arial" w:cs="Arial"/>
        </w:rPr>
      </w:pPr>
      <w:r w:rsidRPr="002422DC">
        <w:rPr>
          <w:rFonts w:ascii="Arial" w:hAnsi="Arial" w:cs="Arial"/>
        </w:rPr>
        <w:t>7.1</w:t>
      </w:r>
      <w:r w:rsidRPr="002422DC">
        <w:rPr>
          <w:rFonts w:ascii="Arial" w:hAnsi="Arial" w:cs="Arial"/>
        </w:rPr>
        <w:tab/>
        <w:t>There are no immediate Human Resource implications arising from this report.</w:t>
      </w:r>
    </w:p>
    <w:p w:rsidRPr="002422DC" w:rsidR="002422DC" w:rsidP="002422DC" w:rsidRDefault="002422DC" w14:paraId="711D9F45" w14:textId="77777777">
      <w:pPr>
        <w:pStyle w:val="NoSpacing"/>
        <w:jc w:val="both"/>
        <w:rPr>
          <w:rFonts w:ascii="Arial" w:hAnsi="Arial" w:cs="Arial"/>
        </w:rPr>
      </w:pPr>
    </w:p>
    <w:tbl>
      <w:tblPr>
        <w:tblW w:w="96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634"/>
      </w:tblGrid>
      <w:tr w:rsidRPr="002422DC" w:rsidR="002422DC" w:rsidTr="0030311C" w14:paraId="35A862DA" w14:textId="77777777">
        <w:tc>
          <w:tcPr>
            <w:tcW w:w="9634" w:type="dxa"/>
          </w:tcPr>
          <w:p w:rsidRPr="002422DC" w:rsidR="002422DC" w:rsidP="0030311C" w:rsidRDefault="002422DC" w14:paraId="1874031E" w14:textId="77777777">
            <w:pPr>
              <w:pStyle w:val="NoSpacing"/>
              <w:jc w:val="both"/>
              <w:rPr>
                <w:rFonts w:ascii="Arial" w:hAnsi="Arial" w:cs="Arial"/>
                <w:b/>
              </w:rPr>
            </w:pPr>
            <w:r w:rsidRPr="002422DC">
              <w:rPr>
                <w:rFonts w:ascii="Arial" w:hAnsi="Arial" w:cs="Arial"/>
                <w:b/>
              </w:rPr>
              <w:t>8. Equality Implications</w:t>
            </w:r>
          </w:p>
        </w:tc>
      </w:tr>
    </w:tbl>
    <w:p w:rsidRPr="002422DC" w:rsidR="002422DC" w:rsidP="002422DC" w:rsidRDefault="002422DC" w14:paraId="17E50D94" w14:textId="77777777">
      <w:pPr>
        <w:pStyle w:val="NoSpacing"/>
        <w:jc w:val="both"/>
        <w:rPr>
          <w:rFonts w:ascii="Arial" w:hAnsi="Arial" w:cs="Arial"/>
        </w:rPr>
      </w:pPr>
    </w:p>
    <w:p w:rsidRPr="002422DC" w:rsidR="002422DC" w:rsidP="002422DC" w:rsidRDefault="002422DC" w14:paraId="4946AC13" w14:textId="77777777">
      <w:pPr>
        <w:jc w:val="both"/>
        <w:rPr>
          <w:rFonts w:cs="Arial"/>
          <w:sz w:val="22"/>
          <w:szCs w:val="22"/>
        </w:rPr>
      </w:pPr>
      <w:r w:rsidRPr="002422DC">
        <w:rPr>
          <w:rFonts w:cs="Arial"/>
          <w:sz w:val="22"/>
          <w:szCs w:val="22"/>
        </w:rPr>
        <w:t>8.1      There are no equality implications arising from this report.</w:t>
      </w:r>
    </w:p>
    <w:p w:rsidRPr="002422DC" w:rsidR="002422DC" w:rsidP="002422DC" w:rsidRDefault="002422DC" w14:paraId="37442F6B" w14:textId="77777777">
      <w:pPr>
        <w:jc w:val="both"/>
        <w:rPr>
          <w:rFonts w:cs="Arial"/>
          <w:sz w:val="22"/>
          <w:szCs w:val="22"/>
        </w:rPr>
      </w:pPr>
    </w:p>
    <w:tbl>
      <w:tblPr>
        <w:tblW w:w="96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634"/>
      </w:tblGrid>
      <w:tr w:rsidRPr="002422DC" w:rsidR="002422DC" w:rsidTr="0030311C" w14:paraId="071B3F13" w14:textId="77777777">
        <w:tc>
          <w:tcPr>
            <w:tcW w:w="9634" w:type="dxa"/>
          </w:tcPr>
          <w:p w:rsidRPr="002422DC" w:rsidR="002422DC" w:rsidP="0030311C" w:rsidRDefault="002422DC" w14:paraId="4DDBDF88" w14:textId="77777777">
            <w:pPr>
              <w:pStyle w:val="NoSpacing"/>
              <w:jc w:val="both"/>
              <w:rPr>
                <w:rFonts w:ascii="Arial" w:hAnsi="Arial" w:cs="Arial"/>
                <w:b/>
              </w:rPr>
            </w:pPr>
            <w:r w:rsidRPr="002422DC">
              <w:rPr>
                <w:rFonts w:ascii="Arial" w:hAnsi="Arial" w:cs="Arial"/>
                <w:b/>
              </w:rPr>
              <w:t>9.   Risk Management</w:t>
            </w:r>
          </w:p>
        </w:tc>
      </w:tr>
    </w:tbl>
    <w:p w:rsidRPr="002422DC" w:rsidR="002422DC" w:rsidP="002422DC" w:rsidRDefault="002422DC" w14:paraId="3B4F6723" w14:textId="77777777">
      <w:pPr>
        <w:ind w:left="709" w:hanging="709"/>
        <w:jc w:val="both"/>
        <w:rPr>
          <w:rFonts w:cs="Arial"/>
          <w:sz w:val="22"/>
          <w:szCs w:val="22"/>
        </w:rPr>
      </w:pPr>
    </w:p>
    <w:p w:rsidRPr="002422DC" w:rsidR="002422DC" w:rsidP="002422DC" w:rsidRDefault="002422DC" w14:paraId="70347C22" w14:textId="77777777">
      <w:pPr>
        <w:ind w:left="709" w:hanging="709"/>
        <w:jc w:val="both"/>
        <w:rPr>
          <w:rFonts w:cs="Arial"/>
          <w:sz w:val="22"/>
          <w:szCs w:val="22"/>
        </w:rPr>
      </w:pPr>
      <w:r w:rsidRPr="002422DC">
        <w:rPr>
          <w:rFonts w:cs="Arial"/>
          <w:sz w:val="22"/>
          <w:szCs w:val="22"/>
        </w:rPr>
        <w:t>9.1</w:t>
      </w:r>
      <w:r w:rsidRPr="002422DC">
        <w:rPr>
          <w:rFonts w:cs="Arial"/>
          <w:sz w:val="22"/>
          <w:szCs w:val="22"/>
        </w:rPr>
        <w:tab/>
        <w:t>There are no risk implications arising from this report.</w:t>
      </w:r>
    </w:p>
    <w:p w:rsidRPr="002422DC" w:rsidR="002422DC" w:rsidP="002422DC" w:rsidRDefault="002422DC" w14:paraId="288B1D10" w14:textId="77777777">
      <w:pPr>
        <w:ind w:left="709" w:hanging="709"/>
        <w:jc w:val="both"/>
        <w:rPr>
          <w:rFonts w:cs="Arial"/>
          <w:sz w:val="22"/>
          <w:szCs w:val="22"/>
        </w:rPr>
      </w:pPr>
    </w:p>
    <w:tbl>
      <w:tblPr>
        <w:tblW w:w="96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634"/>
      </w:tblGrid>
      <w:tr w:rsidRPr="002422DC" w:rsidR="002422DC" w:rsidTr="0030311C" w14:paraId="5D84992B" w14:textId="77777777">
        <w:tc>
          <w:tcPr>
            <w:tcW w:w="9634" w:type="dxa"/>
          </w:tcPr>
          <w:p w:rsidRPr="002422DC" w:rsidR="002422DC" w:rsidP="0030311C" w:rsidRDefault="002422DC" w14:paraId="7BE6BA43" w14:textId="77777777">
            <w:pPr>
              <w:pStyle w:val="NoSpacing"/>
              <w:jc w:val="both"/>
              <w:rPr>
                <w:rFonts w:ascii="Arial" w:hAnsi="Arial" w:cs="Arial"/>
                <w:b/>
              </w:rPr>
            </w:pPr>
            <w:r w:rsidRPr="002422DC">
              <w:rPr>
                <w:rFonts w:ascii="Arial" w:hAnsi="Arial" w:cs="Arial"/>
                <w:b/>
              </w:rPr>
              <w:t>10.  Policy Implications and links to the Police and Crime Plan Priorities</w:t>
            </w:r>
          </w:p>
        </w:tc>
      </w:tr>
    </w:tbl>
    <w:p w:rsidRPr="002422DC" w:rsidR="002422DC" w:rsidP="002422DC" w:rsidRDefault="002422DC" w14:paraId="42F4F823" w14:textId="77777777">
      <w:pPr>
        <w:pStyle w:val="NoSpacing"/>
        <w:jc w:val="both"/>
        <w:rPr>
          <w:rFonts w:ascii="Arial" w:hAnsi="Arial" w:cs="Arial"/>
        </w:rPr>
      </w:pPr>
    </w:p>
    <w:p w:rsidRPr="002422DC" w:rsidR="002422DC" w:rsidP="002422DC" w:rsidRDefault="002422DC" w14:paraId="4AE037AC" w14:textId="77777777">
      <w:pPr>
        <w:pStyle w:val="NoSpacing"/>
        <w:jc w:val="both"/>
        <w:rPr>
          <w:rFonts w:ascii="Arial" w:hAnsi="Arial" w:cs="Arial"/>
        </w:rPr>
      </w:pPr>
      <w:r w:rsidRPr="002422DC">
        <w:rPr>
          <w:rFonts w:ascii="Arial" w:hAnsi="Arial" w:cs="Arial"/>
        </w:rPr>
        <w:t>10.1</w:t>
      </w:r>
      <w:r w:rsidRPr="002422DC">
        <w:rPr>
          <w:rFonts w:ascii="Arial" w:hAnsi="Arial" w:cs="Arial"/>
        </w:rPr>
        <w:tab/>
        <w:t>There are no policy implications arising from this report.</w:t>
      </w:r>
    </w:p>
    <w:p w:rsidRPr="002422DC" w:rsidR="002422DC" w:rsidP="002422DC" w:rsidRDefault="002422DC" w14:paraId="16C49CFA" w14:textId="77777777">
      <w:pPr>
        <w:pStyle w:val="NoSpacing"/>
        <w:jc w:val="both"/>
        <w:rPr>
          <w:rFonts w:ascii="Arial" w:hAnsi="Arial" w:cs="Arial"/>
        </w:rPr>
      </w:pPr>
    </w:p>
    <w:tbl>
      <w:tblPr>
        <w:tblW w:w="96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634"/>
      </w:tblGrid>
      <w:tr w:rsidRPr="002422DC" w:rsidR="002422DC" w:rsidTr="0030311C" w14:paraId="58D8E1A3" w14:textId="77777777">
        <w:tc>
          <w:tcPr>
            <w:tcW w:w="9634" w:type="dxa"/>
          </w:tcPr>
          <w:p w:rsidRPr="002422DC" w:rsidR="002422DC" w:rsidP="0030311C" w:rsidRDefault="002422DC" w14:paraId="0FC6CDFB" w14:textId="77777777">
            <w:pPr>
              <w:pStyle w:val="NoSpacing"/>
              <w:jc w:val="both"/>
              <w:rPr>
                <w:rFonts w:ascii="Arial" w:hAnsi="Arial" w:cs="Arial"/>
                <w:b/>
              </w:rPr>
            </w:pPr>
            <w:r w:rsidRPr="002422DC">
              <w:rPr>
                <w:rFonts w:ascii="Arial" w:hAnsi="Arial" w:cs="Arial"/>
                <w:b/>
              </w:rPr>
              <w:lastRenderedPageBreak/>
              <w:t>11.  Changes in Legislation or other Legal Considerations</w:t>
            </w:r>
          </w:p>
        </w:tc>
      </w:tr>
    </w:tbl>
    <w:p w:rsidRPr="002422DC" w:rsidR="002422DC" w:rsidP="002422DC" w:rsidRDefault="002422DC" w14:paraId="135500AF" w14:textId="77777777">
      <w:pPr>
        <w:pStyle w:val="NoSpacing"/>
        <w:jc w:val="both"/>
        <w:rPr>
          <w:rFonts w:ascii="Arial" w:hAnsi="Arial" w:cs="Arial"/>
        </w:rPr>
      </w:pPr>
    </w:p>
    <w:p w:rsidRPr="002422DC" w:rsidR="002422DC" w:rsidP="002422DC" w:rsidRDefault="002422DC" w14:paraId="3F080494" w14:textId="77777777">
      <w:pPr>
        <w:pStyle w:val="NoSpacing"/>
        <w:ind w:left="709" w:hanging="709"/>
        <w:jc w:val="both"/>
        <w:rPr>
          <w:rFonts w:ascii="Arial" w:hAnsi="Arial" w:cs="Arial"/>
        </w:rPr>
      </w:pPr>
      <w:r w:rsidRPr="002422DC">
        <w:rPr>
          <w:rFonts w:ascii="Arial" w:hAnsi="Arial" w:cs="Arial"/>
        </w:rPr>
        <w:t>11.1</w:t>
      </w:r>
      <w:r w:rsidRPr="002422DC">
        <w:rPr>
          <w:rFonts w:ascii="Arial" w:hAnsi="Arial" w:cs="Arial"/>
        </w:rPr>
        <w:tab/>
        <w:t>There are no changes in legislation or other legal considerations that are relevant to this report.</w:t>
      </w:r>
    </w:p>
    <w:p w:rsidRPr="002422DC" w:rsidR="002422DC" w:rsidP="002422DC" w:rsidRDefault="002422DC" w14:paraId="31A474CA" w14:textId="77777777">
      <w:pPr>
        <w:pStyle w:val="NoSpacing"/>
        <w:jc w:val="both"/>
        <w:rPr>
          <w:rFonts w:ascii="Arial" w:hAnsi="Arial" w:cs="Arial"/>
          <w:highlight w:val="yellow"/>
        </w:rPr>
      </w:pPr>
    </w:p>
    <w:tbl>
      <w:tblPr>
        <w:tblW w:w="96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634"/>
      </w:tblGrid>
      <w:tr w:rsidRPr="002422DC" w:rsidR="002422DC" w:rsidTr="0030311C" w14:paraId="4BD86486" w14:textId="77777777">
        <w:tc>
          <w:tcPr>
            <w:tcW w:w="9634" w:type="dxa"/>
          </w:tcPr>
          <w:p w:rsidRPr="002422DC" w:rsidR="002422DC" w:rsidP="0030311C" w:rsidRDefault="002422DC" w14:paraId="0D2126C1" w14:textId="77777777">
            <w:pPr>
              <w:pStyle w:val="NoSpacing"/>
              <w:jc w:val="both"/>
              <w:rPr>
                <w:rFonts w:ascii="Arial" w:hAnsi="Arial" w:cs="Arial"/>
                <w:b/>
              </w:rPr>
            </w:pPr>
            <w:r w:rsidRPr="002422DC">
              <w:rPr>
                <w:rFonts w:ascii="Arial" w:hAnsi="Arial" w:cs="Arial"/>
                <w:b/>
              </w:rPr>
              <w:t>12.  Details of outcome of consultation</w:t>
            </w:r>
          </w:p>
        </w:tc>
      </w:tr>
    </w:tbl>
    <w:p w:rsidRPr="002422DC" w:rsidR="002422DC" w:rsidP="002422DC" w:rsidRDefault="002422DC" w14:paraId="47953B2D" w14:textId="77777777">
      <w:pPr>
        <w:pStyle w:val="NoSpacing"/>
        <w:jc w:val="both"/>
        <w:rPr>
          <w:rFonts w:ascii="Arial" w:hAnsi="Arial" w:cs="Arial"/>
        </w:rPr>
      </w:pPr>
    </w:p>
    <w:p w:rsidRPr="002422DC" w:rsidR="002422DC" w:rsidP="002422DC" w:rsidRDefault="002422DC" w14:paraId="430C06AA" w14:textId="77777777">
      <w:pPr>
        <w:pStyle w:val="NoSpacing"/>
        <w:ind w:left="720" w:hanging="720"/>
        <w:jc w:val="both"/>
        <w:rPr>
          <w:rFonts w:ascii="Arial" w:hAnsi="Arial" w:cs="Arial"/>
          <w:color w:val="FF0000"/>
        </w:rPr>
      </w:pPr>
      <w:r w:rsidRPr="002422DC">
        <w:rPr>
          <w:rFonts w:ascii="Arial" w:hAnsi="Arial" w:cs="Arial"/>
        </w:rPr>
        <w:t>12.1</w:t>
      </w:r>
      <w:r w:rsidRPr="002422DC">
        <w:rPr>
          <w:rFonts w:ascii="Arial" w:hAnsi="Arial" w:cs="Arial"/>
        </w:rPr>
        <w:tab/>
        <w:t>Not applicable.</w:t>
      </w:r>
    </w:p>
    <w:p w:rsidRPr="002422DC" w:rsidR="002422DC" w:rsidP="002422DC" w:rsidRDefault="002422DC" w14:paraId="3F686F04" w14:textId="77777777">
      <w:pPr>
        <w:pStyle w:val="NoSpacing"/>
        <w:jc w:val="both"/>
        <w:rPr>
          <w:rFonts w:ascii="Arial" w:hAnsi="Arial" w:cs="Arial"/>
          <w:highlight w:val="yellow"/>
        </w:rPr>
      </w:pPr>
    </w:p>
    <w:tbl>
      <w:tblPr>
        <w:tblW w:w="96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634"/>
      </w:tblGrid>
      <w:tr w:rsidRPr="002422DC" w:rsidR="002422DC" w:rsidTr="0030311C" w14:paraId="2080AE1F" w14:textId="77777777">
        <w:tc>
          <w:tcPr>
            <w:tcW w:w="9634" w:type="dxa"/>
          </w:tcPr>
          <w:p w:rsidRPr="002422DC" w:rsidR="002422DC" w:rsidP="0030311C" w:rsidRDefault="002422DC" w14:paraId="2477BC54" w14:textId="77777777">
            <w:pPr>
              <w:pStyle w:val="NoSpacing"/>
              <w:ind w:left="426" w:hanging="426"/>
              <w:jc w:val="both"/>
              <w:rPr>
                <w:rFonts w:ascii="Arial" w:hAnsi="Arial" w:cs="Arial"/>
                <w:b/>
              </w:rPr>
            </w:pPr>
            <w:r w:rsidRPr="002422DC">
              <w:rPr>
                <w:rFonts w:ascii="Arial" w:hAnsi="Arial" w:cs="Arial"/>
                <w:b/>
              </w:rPr>
              <w:t xml:space="preserve">13. </w:t>
            </w:r>
            <w:r w:rsidRPr="002422DC">
              <w:rPr>
                <w:rFonts w:ascii="Arial" w:hAnsi="Arial" w:cs="Arial"/>
                <w:b/>
              </w:rPr>
              <w:tab/>
              <w:t>Appendices</w:t>
            </w:r>
          </w:p>
        </w:tc>
      </w:tr>
    </w:tbl>
    <w:p w:rsidRPr="002422DC" w:rsidR="002422DC" w:rsidP="002422DC" w:rsidRDefault="002422DC" w14:paraId="03A4994E" w14:textId="77777777">
      <w:pPr>
        <w:pStyle w:val="NoSpacing"/>
        <w:jc w:val="both"/>
        <w:rPr>
          <w:rFonts w:ascii="Arial" w:hAnsi="Arial" w:cs="Arial"/>
        </w:rPr>
      </w:pPr>
    </w:p>
    <w:p w:rsidRPr="002422DC" w:rsidR="002422DC" w:rsidP="002422DC" w:rsidRDefault="002422DC" w14:paraId="5C9A0818" w14:textId="77777777">
      <w:pPr>
        <w:pStyle w:val="NoSpacing"/>
        <w:ind w:left="720" w:hanging="720"/>
        <w:jc w:val="both"/>
        <w:rPr>
          <w:rFonts w:ascii="Arial" w:hAnsi="Arial" w:cs="Arial"/>
          <w:color w:val="FF0000"/>
        </w:rPr>
      </w:pPr>
      <w:r w:rsidRPr="002422DC">
        <w:rPr>
          <w:rFonts w:ascii="Arial" w:hAnsi="Arial" w:cs="Arial"/>
        </w:rPr>
        <w:t>13.1</w:t>
      </w:r>
      <w:r w:rsidRPr="002422DC">
        <w:rPr>
          <w:rFonts w:ascii="Arial" w:hAnsi="Arial" w:cs="Arial"/>
        </w:rPr>
        <w:tab/>
        <w:t>Not applicable.</w:t>
      </w:r>
    </w:p>
    <w:p w:rsidRPr="002422DC" w:rsidR="002422DC" w:rsidP="002422DC" w:rsidRDefault="002422DC" w14:paraId="1C357ADB" w14:textId="77777777">
      <w:pPr>
        <w:pStyle w:val="NoSpacing"/>
        <w:jc w:val="both"/>
        <w:rPr>
          <w:rFonts w:ascii="Arial" w:hAnsi="Arial" w:cs="Arial"/>
          <w:highlight w:val="yellow"/>
        </w:rPr>
      </w:pPr>
    </w:p>
    <w:tbl>
      <w:tblPr>
        <w:tblW w:w="96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634"/>
      </w:tblGrid>
      <w:tr w:rsidRPr="002422DC" w:rsidR="002422DC" w:rsidTr="0030311C" w14:paraId="63D18106" w14:textId="77777777">
        <w:tc>
          <w:tcPr>
            <w:tcW w:w="9634" w:type="dxa"/>
          </w:tcPr>
          <w:p w:rsidRPr="002422DC" w:rsidR="002422DC" w:rsidP="0030311C" w:rsidRDefault="002422DC" w14:paraId="4AB6D9E2" w14:textId="77777777">
            <w:pPr>
              <w:pStyle w:val="NoSpacing"/>
              <w:ind w:left="426" w:hanging="426"/>
              <w:jc w:val="both"/>
              <w:rPr>
                <w:rFonts w:ascii="Arial" w:hAnsi="Arial" w:cs="Arial"/>
                <w:b/>
              </w:rPr>
            </w:pPr>
            <w:r w:rsidRPr="002422DC">
              <w:rPr>
                <w:rFonts w:ascii="Arial" w:hAnsi="Arial" w:cs="Arial"/>
                <w:b/>
              </w:rPr>
              <w:t xml:space="preserve">14. </w:t>
            </w:r>
            <w:r w:rsidRPr="002422DC">
              <w:rPr>
                <w:rFonts w:ascii="Arial" w:hAnsi="Arial" w:cs="Arial"/>
                <w:b/>
              </w:rPr>
              <w:tab/>
              <w:t xml:space="preserve">Background Papers </w:t>
            </w:r>
          </w:p>
        </w:tc>
      </w:tr>
    </w:tbl>
    <w:p w:rsidRPr="002422DC" w:rsidR="002422DC" w:rsidP="002422DC" w:rsidRDefault="002422DC" w14:paraId="774FBFC8" w14:textId="77777777">
      <w:pPr>
        <w:pStyle w:val="NoSpacing"/>
        <w:jc w:val="both"/>
        <w:rPr>
          <w:rFonts w:ascii="Arial" w:hAnsi="Arial" w:cs="Arial"/>
        </w:rPr>
      </w:pPr>
    </w:p>
    <w:p w:rsidRPr="002422DC" w:rsidR="002422DC" w:rsidP="002422DC" w:rsidRDefault="002422DC" w14:paraId="497D5E7B" w14:textId="77777777">
      <w:pPr>
        <w:pStyle w:val="NoSpacing"/>
        <w:jc w:val="both"/>
        <w:rPr>
          <w:rFonts w:ascii="Arial" w:hAnsi="Arial" w:cs="Arial"/>
        </w:rPr>
      </w:pPr>
      <w:r w:rsidRPr="002422DC">
        <w:rPr>
          <w:rFonts w:ascii="Arial" w:hAnsi="Arial" w:cs="Arial"/>
        </w:rPr>
        <w:t>14.1</w:t>
      </w:r>
      <w:r w:rsidRPr="002422DC">
        <w:rPr>
          <w:rFonts w:ascii="Arial" w:hAnsi="Arial" w:cs="Arial"/>
        </w:rPr>
        <w:tab/>
        <w:t>Finance Working Papers</w:t>
      </w:r>
    </w:p>
    <w:p w:rsidRPr="002422DC" w:rsidR="002422DC" w:rsidP="002422DC" w:rsidRDefault="002422DC" w14:paraId="699E7437" w14:textId="77777777">
      <w:pPr>
        <w:spacing w:line="271" w:lineRule="auto"/>
        <w:ind w:left="414" w:firstLine="12"/>
        <w:jc w:val="both"/>
        <w:rPr>
          <w:rFonts w:cs="Arial"/>
          <w:sz w:val="22"/>
          <w:szCs w:val="22"/>
        </w:rPr>
      </w:pPr>
    </w:p>
    <w:p w:rsidRPr="002422DC" w:rsidR="002422DC" w:rsidP="000F2D21" w:rsidRDefault="002422DC" w14:paraId="200EF616" w14:textId="79036AE0">
      <w:pPr>
        <w:ind w:left="720"/>
        <w:jc w:val="both"/>
        <w:rPr>
          <w:rFonts w:eastAsia="Arial"/>
          <w:spacing w:val="0"/>
          <w:sz w:val="22"/>
          <w:szCs w:val="22"/>
        </w:rPr>
      </w:pPr>
    </w:p>
    <w:p w:rsidRPr="002422DC" w:rsidR="002422DC" w:rsidP="000F2D21" w:rsidRDefault="002422DC" w14:paraId="13281F1F" w14:textId="053E929A">
      <w:pPr>
        <w:ind w:left="720"/>
        <w:jc w:val="both"/>
        <w:rPr>
          <w:rFonts w:eastAsia="Arial"/>
          <w:spacing w:val="0"/>
          <w:sz w:val="22"/>
          <w:szCs w:val="22"/>
        </w:rPr>
      </w:pPr>
    </w:p>
    <w:p w:rsidRPr="002422DC" w:rsidR="002422DC" w:rsidP="000F2D21" w:rsidRDefault="002422DC" w14:paraId="4C8AC31C" w14:textId="026BE69D">
      <w:pPr>
        <w:ind w:left="720"/>
        <w:jc w:val="both"/>
        <w:rPr>
          <w:rFonts w:eastAsia="Arial"/>
          <w:spacing w:val="0"/>
          <w:sz w:val="22"/>
          <w:szCs w:val="22"/>
        </w:rPr>
      </w:pPr>
    </w:p>
    <w:p w:rsidRPr="002422DC" w:rsidR="002422DC" w:rsidP="000F2D21" w:rsidRDefault="002422DC" w14:paraId="007AB58F" w14:textId="7E93DBFB">
      <w:pPr>
        <w:ind w:left="720"/>
        <w:jc w:val="both"/>
        <w:rPr>
          <w:rFonts w:eastAsia="Arial"/>
          <w:spacing w:val="0"/>
          <w:sz w:val="22"/>
          <w:szCs w:val="22"/>
        </w:rPr>
      </w:pPr>
    </w:p>
    <w:p w:rsidR="002422DC" w:rsidP="000F2D21" w:rsidRDefault="002422DC" w14:paraId="096B2364" w14:textId="6E3979AF">
      <w:pPr>
        <w:ind w:left="720"/>
        <w:jc w:val="both"/>
        <w:rPr>
          <w:rFonts w:eastAsia="Arial"/>
          <w:spacing w:val="0"/>
          <w:sz w:val="22"/>
          <w:szCs w:val="22"/>
        </w:rPr>
      </w:pPr>
    </w:p>
    <w:p w:rsidR="002422DC" w:rsidP="000F2D21" w:rsidRDefault="002422DC" w14:paraId="2DFE1DEB" w14:textId="08CE9737">
      <w:pPr>
        <w:ind w:left="720"/>
        <w:jc w:val="both"/>
        <w:rPr>
          <w:rFonts w:eastAsia="Arial"/>
          <w:spacing w:val="0"/>
          <w:sz w:val="22"/>
          <w:szCs w:val="22"/>
        </w:rPr>
      </w:pPr>
    </w:p>
    <w:p w:rsidR="002422DC" w:rsidP="000F2D21" w:rsidRDefault="002422DC" w14:paraId="788BE075" w14:textId="292EF3A6">
      <w:pPr>
        <w:ind w:left="720"/>
        <w:jc w:val="both"/>
        <w:rPr>
          <w:rFonts w:eastAsia="Arial"/>
          <w:spacing w:val="0"/>
          <w:sz w:val="22"/>
          <w:szCs w:val="22"/>
        </w:rPr>
      </w:pPr>
    </w:p>
    <w:p w:rsidR="002422DC" w:rsidP="000F2D21" w:rsidRDefault="002422DC" w14:paraId="0945E69F" w14:textId="77777777">
      <w:pPr>
        <w:ind w:left="720"/>
        <w:jc w:val="both"/>
        <w:rPr>
          <w:rFonts w:eastAsia="Arial"/>
          <w:spacing w:val="0"/>
          <w:sz w:val="22"/>
          <w:szCs w:val="22"/>
        </w:rPr>
      </w:pPr>
    </w:p>
    <w:p w:rsidR="00332136" w:rsidP="000F2D21" w:rsidRDefault="00332136" w14:paraId="223308D8" w14:textId="1AE7166B">
      <w:pPr>
        <w:ind w:left="720"/>
        <w:jc w:val="both"/>
        <w:rPr>
          <w:rFonts w:eastAsia="Arial"/>
          <w:spacing w:val="0"/>
          <w:sz w:val="22"/>
          <w:szCs w:val="22"/>
        </w:rPr>
      </w:pPr>
    </w:p>
    <w:p w:rsidR="00332136" w:rsidP="000F2D21" w:rsidRDefault="00332136" w14:paraId="2E53D972" w14:textId="61C9A455">
      <w:pPr>
        <w:ind w:left="720"/>
        <w:jc w:val="both"/>
        <w:rPr>
          <w:rFonts w:eastAsia="Arial"/>
          <w:spacing w:val="0"/>
          <w:sz w:val="22"/>
          <w:szCs w:val="22"/>
        </w:rPr>
      </w:pPr>
    </w:p>
    <w:p w:rsidR="00332136" w:rsidP="000F2D21" w:rsidRDefault="00332136" w14:paraId="0FB23A62" w14:textId="43766B7D">
      <w:pPr>
        <w:ind w:left="720"/>
        <w:jc w:val="both"/>
        <w:rPr>
          <w:rFonts w:eastAsia="Arial"/>
          <w:spacing w:val="0"/>
          <w:sz w:val="22"/>
          <w:szCs w:val="22"/>
        </w:rPr>
      </w:pPr>
    </w:p>
    <w:p w:rsidRPr="00C5764D" w:rsidR="000E33AD" w:rsidP="007F0AD7" w:rsidRDefault="000E33AD" w14:paraId="76562808" w14:textId="25E18EB6">
      <w:pPr>
        <w:pStyle w:val="BodyText"/>
        <w:spacing w:after="0" w:line="240" w:lineRule="auto"/>
        <w:jc w:val="left"/>
        <w:rPr>
          <w:rFonts w:ascii="Arial" w:hAnsi="Arial" w:cs="Arial"/>
          <w:sz w:val="24"/>
          <w:szCs w:val="24"/>
        </w:rPr>
      </w:pPr>
    </w:p>
    <w:sectPr w:rsidRPr="00C5764D" w:rsidR="000E33AD" w:rsidSect="007F0AD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4AE67" w14:textId="77777777" w:rsidR="00DB7120" w:rsidRDefault="00DB7120" w:rsidP="00345908">
      <w:r>
        <w:separator/>
      </w:r>
    </w:p>
  </w:endnote>
  <w:endnote w:type="continuationSeparator" w:id="0">
    <w:p w14:paraId="7396AC0B" w14:textId="77777777" w:rsidR="00DB7120" w:rsidRDefault="00DB7120" w:rsidP="00345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liss 2 Regular">
    <w:altName w:val="Calibri"/>
    <w:panose1 w:val="00000000000000000000"/>
    <w:charset w:val="00"/>
    <w:family w:val="modern"/>
    <w:notTrueType/>
    <w:pitch w:val="variable"/>
    <w:sig w:usb0="00000087" w:usb1="00000000"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Optima LT Std">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466E" w14:textId="77777777" w:rsidR="00345908" w:rsidRDefault="003459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03EA" w14:textId="77777777" w:rsidR="00345908" w:rsidRDefault="003459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D6A5" w14:textId="77777777" w:rsidR="00345908" w:rsidRDefault="00345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7FF81" w14:textId="77777777" w:rsidR="00DB7120" w:rsidRDefault="00DB7120" w:rsidP="00345908">
      <w:r>
        <w:separator/>
      </w:r>
    </w:p>
  </w:footnote>
  <w:footnote w:type="continuationSeparator" w:id="0">
    <w:p w14:paraId="5340101E" w14:textId="77777777" w:rsidR="00DB7120" w:rsidRDefault="00DB7120" w:rsidP="00345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BF79" w14:textId="77777777" w:rsidR="00345908" w:rsidRDefault="003459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E2515" w14:textId="77777777" w:rsidR="00345908" w:rsidRDefault="003459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046E" w14:textId="77777777" w:rsidR="00345908" w:rsidRDefault="00345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6" type="#_x0000_t75" style="width:489.75pt;height:225.75pt;visibility:visible;mso-wrap-style:square" o:bullet="t">
        <v:imagedata r:id="rId1" o:title=""/>
      </v:shape>
    </w:pict>
  </w:numPicBullet>
  <w:abstractNum w:abstractNumId="0" w15:restartNumberingAfterBreak="0">
    <w:nsid w:val="FFFFFFFE"/>
    <w:multiLevelType w:val="singleLevel"/>
    <w:tmpl w:val="F57EAE8C"/>
    <w:lvl w:ilvl="0">
      <w:numFmt w:val="decimal"/>
      <w:lvlText w:val="*"/>
      <w:lvlJc w:val="left"/>
      <w:rPr>
        <w:rFonts w:cs="Times New Roman"/>
      </w:rPr>
    </w:lvl>
  </w:abstractNum>
  <w:abstractNum w:abstractNumId="1" w15:restartNumberingAfterBreak="0">
    <w:nsid w:val="02E35F10"/>
    <w:multiLevelType w:val="hybridMultilevel"/>
    <w:tmpl w:val="CA2E007E"/>
    <w:lvl w:ilvl="0" w:tplc="0809000F">
      <w:start w:val="7"/>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4C821F5"/>
    <w:multiLevelType w:val="hybridMultilevel"/>
    <w:tmpl w:val="0B307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B23B77"/>
    <w:multiLevelType w:val="hybridMultilevel"/>
    <w:tmpl w:val="B6B49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3D3382"/>
    <w:multiLevelType w:val="multilevel"/>
    <w:tmpl w:val="CFD005B8"/>
    <w:styleLink w:val="SectorList"/>
    <w:lvl w:ilvl="0">
      <w:start w:val="1"/>
      <w:numFmt w:val="decimal"/>
      <w:lvlText w:val="%1."/>
      <w:lvlJc w:val="left"/>
      <w:pPr>
        <w:ind w:left="1701" w:hanging="1134"/>
      </w:pPr>
      <w:rPr>
        <w:rFonts w:cs="Times New Roman" w:hint="default"/>
      </w:rPr>
    </w:lvl>
    <w:lvl w:ilvl="1">
      <w:start w:val="1"/>
      <w:numFmt w:val="decimal"/>
      <w:lvlText w:val="%1.%2"/>
      <w:lvlJc w:val="left"/>
      <w:pPr>
        <w:ind w:left="1701" w:hanging="1134"/>
      </w:pPr>
      <w:rPr>
        <w:rFonts w:cs="Times New Roman" w:hint="default"/>
      </w:rPr>
    </w:lvl>
    <w:lvl w:ilvl="2">
      <w:start w:val="1"/>
      <w:numFmt w:val="decimal"/>
      <w:lvlText w:val="%1.%3."/>
      <w:lvlJc w:val="left"/>
      <w:pPr>
        <w:ind w:left="1844" w:hanging="1134"/>
      </w:pPr>
      <w:rPr>
        <w:rFonts w:cs="Times New Roman" w:hint="default"/>
      </w:rPr>
    </w:lvl>
    <w:lvl w:ilvl="3">
      <w:start w:val="1"/>
      <w:numFmt w:val="decimal"/>
      <w:lvlText w:val="%1.%2.%4"/>
      <w:lvlJc w:val="left"/>
      <w:pPr>
        <w:ind w:left="1701" w:hanging="1134"/>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157E3D10"/>
    <w:multiLevelType w:val="hybridMultilevel"/>
    <w:tmpl w:val="B9602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A07965"/>
    <w:multiLevelType w:val="hybridMultilevel"/>
    <w:tmpl w:val="F90E50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E12F72"/>
    <w:multiLevelType w:val="multilevel"/>
    <w:tmpl w:val="99D026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8" w15:restartNumberingAfterBreak="0">
    <w:nsid w:val="229279C5"/>
    <w:multiLevelType w:val="hybridMultilevel"/>
    <w:tmpl w:val="B4548036"/>
    <w:lvl w:ilvl="0" w:tplc="C6C2BA86">
      <w:start w:val="1"/>
      <w:numFmt w:val="bullet"/>
      <w:pStyle w:val="ListBullet"/>
      <w:lvlText w:val="•"/>
      <w:lvlJc w:val="left"/>
      <w:pPr>
        <w:tabs>
          <w:tab w:val="num" w:pos="360"/>
        </w:tabs>
        <w:ind w:left="360" w:hanging="360"/>
      </w:pPr>
      <w:rPr>
        <w:rFonts w:ascii="Arial" w:hAnsi="Arial" w:hint="default"/>
        <w:color w:val="43579B"/>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B17061"/>
    <w:multiLevelType w:val="hybridMultilevel"/>
    <w:tmpl w:val="29F2B2E4"/>
    <w:lvl w:ilvl="0" w:tplc="6422C49E">
      <w:start w:val="1"/>
      <w:numFmt w:val="bullet"/>
      <w:lvlText w:val=""/>
      <w:lvlJc w:val="left"/>
      <w:pPr>
        <w:ind w:left="1068"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3E23B7"/>
    <w:multiLevelType w:val="multilevel"/>
    <w:tmpl w:val="F40ADF96"/>
    <w:lvl w:ilvl="0">
      <w:start w:val="1"/>
      <w:numFmt w:val="decimal"/>
      <w:lvlText w:val="%1."/>
      <w:lvlJc w:val="left"/>
      <w:pPr>
        <w:tabs>
          <w:tab w:val="num" w:pos="360"/>
        </w:tabs>
        <w:ind w:left="360" w:hanging="360"/>
      </w:pPr>
      <w:rPr>
        <w:rFonts w:ascii="Bliss 2 Regular" w:hAnsi="Bliss 2 Regular" w:cs="Arial" w:hint="default"/>
        <w:b w:val="0"/>
      </w:rPr>
    </w:lvl>
    <w:lvl w:ilvl="1">
      <w:start w:val="1"/>
      <w:numFmt w:val="decimal"/>
      <w:lvlText w:val="%1.%2."/>
      <w:lvlJc w:val="left"/>
      <w:pPr>
        <w:tabs>
          <w:tab w:val="num" w:pos="792"/>
        </w:tabs>
        <w:ind w:left="792" w:hanging="432"/>
      </w:pPr>
      <w:rPr>
        <w:rFonts w:ascii="Arial" w:hAnsi="Arial" w:cs="Arial" w:hint="default"/>
        <w:b w:val="0"/>
        <w:color w:val="auto"/>
      </w:rPr>
    </w:lvl>
    <w:lvl w:ilvl="2">
      <w:start w:val="1"/>
      <w:numFmt w:val="bullet"/>
      <w:lvlText w:val=""/>
      <w:lvlJc w:val="left"/>
      <w:pPr>
        <w:tabs>
          <w:tab w:val="num" w:pos="1980"/>
        </w:tabs>
        <w:ind w:left="1980" w:hanging="360"/>
      </w:pPr>
      <w:rPr>
        <w:rFonts w:ascii="Symbol" w:hAnsi="Symbol" w:hint="default"/>
        <w:b w:val="0"/>
        <w:sz w:val="16"/>
        <w:szCs w:val="16"/>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B7F5CD0"/>
    <w:multiLevelType w:val="hybridMultilevel"/>
    <w:tmpl w:val="0EA66D06"/>
    <w:lvl w:ilvl="0" w:tplc="2F58AF1A">
      <w:start w:val="1"/>
      <w:numFmt w:val="decimal"/>
      <w:lvlText w:val="%1."/>
      <w:lvlJc w:val="left"/>
      <w:pPr>
        <w:ind w:left="720" w:hanging="360"/>
      </w:pPr>
      <w:rPr>
        <w:rFonts w:cs="Arial" w:hint="default"/>
        <w:b/>
        <w:color w:val="005B8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9B132B"/>
    <w:multiLevelType w:val="hybridMultilevel"/>
    <w:tmpl w:val="2488B9CC"/>
    <w:lvl w:ilvl="0" w:tplc="08090005">
      <w:start w:val="1"/>
      <w:numFmt w:val="bullet"/>
      <w:lvlText w:val=""/>
      <w:lvlJc w:val="left"/>
      <w:pPr>
        <w:tabs>
          <w:tab w:val="num" w:pos="1080"/>
        </w:tabs>
        <w:ind w:left="1080" w:hanging="360"/>
      </w:pPr>
      <w:rPr>
        <w:rFonts w:ascii="Wingdings" w:hAnsi="Wingdings" w:hint="default"/>
        <w:sz w:val="16"/>
        <w:szCs w:val="16"/>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DC0607D"/>
    <w:multiLevelType w:val="hybridMultilevel"/>
    <w:tmpl w:val="E9527F8C"/>
    <w:lvl w:ilvl="0" w:tplc="3EB2C08A">
      <w:start w:val="1"/>
      <w:numFmt w:val="bullet"/>
      <w:lvlText w:val=""/>
      <w:lvlJc w:val="left"/>
      <w:pPr>
        <w:tabs>
          <w:tab w:val="num" w:pos="360"/>
        </w:tabs>
        <w:ind w:left="360" w:hanging="360"/>
      </w:pPr>
      <w:rPr>
        <w:rFonts w:ascii="Symbol" w:hAnsi="Symbol" w:hint="default"/>
        <w:sz w:val="22"/>
      </w:rPr>
    </w:lvl>
    <w:lvl w:ilvl="1" w:tplc="08090003">
      <w:start w:val="1"/>
      <w:numFmt w:val="bullet"/>
      <w:lvlText w:val="o"/>
      <w:lvlJc w:val="left"/>
      <w:pPr>
        <w:tabs>
          <w:tab w:val="num" w:pos="-180"/>
        </w:tabs>
        <w:ind w:left="-180" w:hanging="360"/>
      </w:pPr>
      <w:rPr>
        <w:rFonts w:ascii="Courier New" w:hAnsi="Courier New" w:cs="Times New Roman" w:hint="default"/>
      </w:rPr>
    </w:lvl>
    <w:lvl w:ilvl="2" w:tplc="08090005">
      <w:start w:val="1"/>
      <w:numFmt w:val="bullet"/>
      <w:lvlText w:val=""/>
      <w:lvlJc w:val="left"/>
      <w:pPr>
        <w:tabs>
          <w:tab w:val="num" w:pos="540"/>
        </w:tabs>
        <w:ind w:left="540" w:hanging="360"/>
      </w:pPr>
      <w:rPr>
        <w:rFonts w:ascii="Wingdings" w:hAnsi="Wingdings" w:hint="default"/>
      </w:rPr>
    </w:lvl>
    <w:lvl w:ilvl="3" w:tplc="08090001">
      <w:start w:val="1"/>
      <w:numFmt w:val="bullet"/>
      <w:lvlText w:val=""/>
      <w:lvlJc w:val="left"/>
      <w:pPr>
        <w:tabs>
          <w:tab w:val="num" w:pos="1260"/>
        </w:tabs>
        <w:ind w:left="1260" w:hanging="360"/>
      </w:pPr>
      <w:rPr>
        <w:rFonts w:ascii="Symbol" w:hAnsi="Symbol" w:hint="default"/>
      </w:rPr>
    </w:lvl>
    <w:lvl w:ilvl="4" w:tplc="08090003">
      <w:start w:val="1"/>
      <w:numFmt w:val="bullet"/>
      <w:lvlText w:val="o"/>
      <w:lvlJc w:val="left"/>
      <w:pPr>
        <w:tabs>
          <w:tab w:val="num" w:pos="1980"/>
        </w:tabs>
        <w:ind w:left="1980" w:hanging="360"/>
      </w:pPr>
      <w:rPr>
        <w:rFonts w:ascii="Courier New" w:hAnsi="Courier New" w:cs="Times New Roman" w:hint="default"/>
      </w:rPr>
    </w:lvl>
    <w:lvl w:ilvl="5" w:tplc="08090005">
      <w:start w:val="1"/>
      <w:numFmt w:val="bullet"/>
      <w:lvlText w:val=""/>
      <w:lvlJc w:val="left"/>
      <w:pPr>
        <w:tabs>
          <w:tab w:val="num" w:pos="2700"/>
        </w:tabs>
        <w:ind w:left="2700" w:hanging="360"/>
      </w:pPr>
      <w:rPr>
        <w:rFonts w:ascii="Wingdings" w:hAnsi="Wingdings" w:hint="default"/>
      </w:rPr>
    </w:lvl>
    <w:lvl w:ilvl="6" w:tplc="08090001">
      <w:start w:val="1"/>
      <w:numFmt w:val="bullet"/>
      <w:lvlText w:val=""/>
      <w:lvlJc w:val="left"/>
      <w:pPr>
        <w:tabs>
          <w:tab w:val="num" w:pos="3420"/>
        </w:tabs>
        <w:ind w:left="3420" w:hanging="360"/>
      </w:pPr>
      <w:rPr>
        <w:rFonts w:ascii="Symbol" w:hAnsi="Symbol" w:hint="default"/>
      </w:rPr>
    </w:lvl>
    <w:lvl w:ilvl="7" w:tplc="08090003">
      <w:start w:val="1"/>
      <w:numFmt w:val="bullet"/>
      <w:lvlText w:val="o"/>
      <w:lvlJc w:val="left"/>
      <w:pPr>
        <w:tabs>
          <w:tab w:val="num" w:pos="4140"/>
        </w:tabs>
        <w:ind w:left="4140" w:hanging="360"/>
      </w:pPr>
      <w:rPr>
        <w:rFonts w:ascii="Courier New" w:hAnsi="Courier New" w:cs="Times New Roman" w:hint="default"/>
      </w:rPr>
    </w:lvl>
    <w:lvl w:ilvl="8" w:tplc="08090005">
      <w:start w:val="1"/>
      <w:numFmt w:val="bullet"/>
      <w:lvlText w:val=""/>
      <w:lvlJc w:val="left"/>
      <w:pPr>
        <w:tabs>
          <w:tab w:val="num" w:pos="4860"/>
        </w:tabs>
        <w:ind w:left="4860" w:hanging="360"/>
      </w:pPr>
      <w:rPr>
        <w:rFonts w:ascii="Wingdings" w:hAnsi="Wingdings" w:hint="default"/>
      </w:rPr>
    </w:lvl>
  </w:abstractNum>
  <w:abstractNum w:abstractNumId="14" w15:restartNumberingAfterBreak="0">
    <w:nsid w:val="2F0C294B"/>
    <w:multiLevelType w:val="hybridMultilevel"/>
    <w:tmpl w:val="EE8C2816"/>
    <w:lvl w:ilvl="0" w:tplc="50C8A05C">
      <w:start w:val="1"/>
      <w:numFmt w:val="bullet"/>
      <w:lvlText w:val=""/>
      <w:lvlJc w:val="left"/>
      <w:pPr>
        <w:tabs>
          <w:tab w:val="num" w:pos="1980"/>
        </w:tabs>
        <w:ind w:left="1980" w:hanging="360"/>
      </w:pPr>
      <w:rPr>
        <w:rFonts w:ascii="Symbol" w:hAnsi="Symbol" w:hint="default"/>
        <w:sz w:val="14"/>
        <w:szCs w:val="14"/>
      </w:rPr>
    </w:lvl>
    <w:lvl w:ilvl="1" w:tplc="08090001">
      <w:start w:val="1"/>
      <w:numFmt w:val="bullet"/>
      <w:lvlText w:val=""/>
      <w:lvlJc w:val="left"/>
      <w:pPr>
        <w:tabs>
          <w:tab w:val="num" w:pos="1440"/>
        </w:tabs>
        <w:ind w:left="1440" w:hanging="360"/>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900DDB"/>
    <w:multiLevelType w:val="hybridMultilevel"/>
    <w:tmpl w:val="733064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6A3B16"/>
    <w:multiLevelType w:val="hybridMultilevel"/>
    <w:tmpl w:val="8EC83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872396"/>
    <w:multiLevelType w:val="hybridMultilevel"/>
    <w:tmpl w:val="A880C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D9067F"/>
    <w:multiLevelType w:val="hybridMultilevel"/>
    <w:tmpl w:val="3830FC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674C39"/>
    <w:multiLevelType w:val="multilevel"/>
    <w:tmpl w:val="3A32FEF4"/>
    <w:lvl w:ilvl="0">
      <w:start w:val="1"/>
      <w:numFmt w:val="decimal"/>
      <w:lvlText w:val="%1."/>
      <w:lvlJc w:val="left"/>
      <w:pPr>
        <w:ind w:left="360" w:hanging="360"/>
      </w:pPr>
      <w:rPr>
        <w:rFonts w:cs="Times New Roman" w:hint="default"/>
      </w:rPr>
    </w:lvl>
    <w:lvl w:ilvl="1">
      <w:start w:val="1"/>
      <w:numFmt w:val="decimal"/>
      <w:isLgl/>
      <w:lvlText w:val="%1.%2"/>
      <w:lvlJc w:val="left"/>
      <w:pPr>
        <w:ind w:left="0" w:hanging="360"/>
      </w:pPr>
      <w:rPr>
        <w:rFonts w:cs="Times New Roman" w:hint="default"/>
        <w:b w:val="0"/>
        <w:bCs w:val="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0" w15:restartNumberingAfterBreak="0">
    <w:nsid w:val="60137CCD"/>
    <w:multiLevelType w:val="hybridMultilevel"/>
    <w:tmpl w:val="C45C74C4"/>
    <w:lvl w:ilvl="0" w:tplc="FCC81F1A">
      <w:start w:val="1"/>
      <w:numFmt w:val="bullet"/>
      <w:lvlText w:val=""/>
      <w:lvlJc w:val="left"/>
      <w:pPr>
        <w:tabs>
          <w:tab w:val="num" w:pos="720"/>
        </w:tabs>
        <w:ind w:left="72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C77591"/>
    <w:multiLevelType w:val="hybridMultilevel"/>
    <w:tmpl w:val="3D7ABE44"/>
    <w:lvl w:ilvl="0" w:tplc="0E24C3BA">
      <w:start w:val="3"/>
      <w:numFmt w:val="decimal"/>
      <w:lvlText w:val="%1."/>
      <w:lvlJc w:val="left"/>
      <w:pPr>
        <w:ind w:left="36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34903732">
    <w:abstractNumId w:val="20"/>
  </w:num>
  <w:num w:numId="2" w16cid:durableId="1600022800">
    <w:abstractNumId w:val="14"/>
  </w:num>
  <w:num w:numId="3" w16cid:durableId="779643479">
    <w:abstractNumId w:val="1"/>
  </w:num>
  <w:num w:numId="4" w16cid:durableId="1876842807">
    <w:abstractNumId w:val="11"/>
  </w:num>
  <w:num w:numId="5" w16cid:durableId="1210805204">
    <w:abstractNumId w:val="21"/>
  </w:num>
  <w:num w:numId="6" w16cid:durableId="1255355061">
    <w:abstractNumId w:val="5"/>
  </w:num>
  <w:num w:numId="7" w16cid:durableId="1375931920">
    <w:abstractNumId w:val="16"/>
  </w:num>
  <w:num w:numId="8" w16cid:durableId="299386048">
    <w:abstractNumId w:val="4"/>
    <w:lvlOverride w:ilvl="0">
      <w:lvl w:ilvl="0">
        <w:start w:val="1"/>
        <w:numFmt w:val="decimal"/>
        <w:lvlText w:val="%1."/>
        <w:lvlJc w:val="left"/>
        <w:pPr>
          <w:ind w:left="3283" w:hanging="1134"/>
        </w:pPr>
        <w:rPr>
          <w:rFonts w:cs="Times New Roman" w:hint="default"/>
        </w:rPr>
      </w:lvl>
    </w:lvlOverride>
  </w:num>
  <w:num w:numId="9" w16cid:durableId="48067894">
    <w:abstractNumId w:val="4"/>
  </w:num>
  <w:num w:numId="10" w16cid:durableId="158158482">
    <w:abstractNumId w:val="12"/>
  </w:num>
  <w:num w:numId="11" w16cid:durableId="925768726">
    <w:abstractNumId w:val="15"/>
  </w:num>
  <w:num w:numId="12" w16cid:durableId="1148323213">
    <w:abstractNumId w:val="10"/>
  </w:num>
  <w:num w:numId="13" w16cid:durableId="1114903731">
    <w:abstractNumId w:val="8"/>
  </w:num>
  <w:num w:numId="14" w16cid:durableId="1328092624">
    <w:abstractNumId w:val="0"/>
    <w:lvlOverride w:ilvl="0">
      <w:lvl w:ilvl="0">
        <w:start w:val="1"/>
        <w:numFmt w:val="bullet"/>
        <w:lvlText w:val=""/>
        <w:legacy w:legacy="1" w:legacySpace="0" w:legacyIndent="283"/>
        <w:lvlJc w:val="left"/>
        <w:pPr>
          <w:ind w:left="709" w:hanging="283"/>
        </w:pPr>
        <w:rPr>
          <w:rFonts w:ascii="Symbol" w:hAnsi="Symbol" w:hint="default"/>
          <w:sz w:val="18"/>
        </w:rPr>
      </w:lvl>
    </w:lvlOverride>
  </w:num>
  <w:num w:numId="15" w16cid:durableId="1777022467">
    <w:abstractNumId w:val="13"/>
  </w:num>
  <w:num w:numId="16" w16cid:durableId="1061948561">
    <w:abstractNumId w:val="3"/>
  </w:num>
  <w:num w:numId="17" w16cid:durableId="1532641964">
    <w:abstractNumId w:val="2"/>
  </w:num>
  <w:num w:numId="18" w16cid:durableId="2083523564">
    <w:abstractNumId w:val="18"/>
  </w:num>
  <w:num w:numId="19" w16cid:durableId="875771753">
    <w:abstractNumId w:val="6"/>
  </w:num>
  <w:num w:numId="20" w16cid:durableId="1159538829">
    <w:abstractNumId w:val="17"/>
  </w:num>
  <w:num w:numId="21" w16cid:durableId="1932198012">
    <w:abstractNumId w:val="7"/>
  </w:num>
  <w:num w:numId="22" w16cid:durableId="1998343458">
    <w:abstractNumId w:val="9"/>
  </w:num>
  <w:num w:numId="23" w16cid:durableId="336251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9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DC4"/>
    <w:rsid w:val="0000378F"/>
    <w:rsid w:val="0000522A"/>
    <w:rsid w:val="00011BCD"/>
    <w:rsid w:val="00017A2B"/>
    <w:rsid w:val="00017F18"/>
    <w:rsid w:val="00022597"/>
    <w:rsid w:val="00031CC1"/>
    <w:rsid w:val="00032508"/>
    <w:rsid w:val="000356B5"/>
    <w:rsid w:val="00041340"/>
    <w:rsid w:val="0005181E"/>
    <w:rsid w:val="00062B7A"/>
    <w:rsid w:val="00091D10"/>
    <w:rsid w:val="000A0E5F"/>
    <w:rsid w:val="000B6550"/>
    <w:rsid w:val="000B75E3"/>
    <w:rsid w:val="000C6227"/>
    <w:rsid w:val="000E33AD"/>
    <w:rsid w:val="000F0F8A"/>
    <w:rsid w:val="000F2D21"/>
    <w:rsid w:val="000F6BE2"/>
    <w:rsid w:val="00107B13"/>
    <w:rsid w:val="0011313F"/>
    <w:rsid w:val="00113B9F"/>
    <w:rsid w:val="0011721F"/>
    <w:rsid w:val="00121BE3"/>
    <w:rsid w:val="00123BAA"/>
    <w:rsid w:val="001252E7"/>
    <w:rsid w:val="00140FD1"/>
    <w:rsid w:val="00144FEC"/>
    <w:rsid w:val="001511FB"/>
    <w:rsid w:val="0017194E"/>
    <w:rsid w:val="00187DC4"/>
    <w:rsid w:val="001B0353"/>
    <w:rsid w:val="001C4A0A"/>
    <w:rsid w:val="001D4230"/>
    <w:rsid w:val="001D4AC6"/>
    <w:rsid w:val="001E1054"/>
    <w:rsid w:val="001E50B3"/>
    <w:rsid w:val="001E5BE9"/>
    <w:rsid w:val="001F0FBE"/>
    <w:rsid w:val="0020033D"/>
    <w:rsid w:val="002422DC"/>
    <w:rsid w:val="002520C8"/>
    <w:rsid w:val="00257F23"/>
    <w:rsid w:val="0026196B"/>
    <w:rsid w:val="00266BC9"/>
    <w:rsid w:val="00271652"/>
    <w:rsid w:val="00280FD3"/>
    <w:rsid w:val="00282C74"/>
    <w:rsid w:val="0028362A"/>
    <w:rsid w:val="0029715F"/>
    <w:rsid w:val="002A0BF0"/>
    <w:rsid w:val="002C4B6A"/>
    <w:rsid w:val="002C4F02"/>
    <w:rsid w:val="002F152C"/>
    <w:rsid w:val="002F239F"/>
    <w:rsid w:val="00304D96"/>
    <w:rsid w:val="003071DC"/>
    <w:rsid w:val="0031776A"/>
    <w:rsid w:val="00330E56"/>
    <w:rsid w:val="00332136"/>
    <w:rsid w:val="003376C1"/>
    <w:rsid w:val="00345908"/>
    <w:rsid w:val="003606FE"/>
    <w:rsid w:val="00370FF3"/>
    <w:rsid w:val="00377A2D"/>
    <w:rsid w:val="00380849"/>
    <w:rsid w:val="003929EE"/>
    <w:rsid w:val="003A052B"/>
    <w:rsid w:val="003A3976"/>
    <w:rsid w:val="003A64D9"/>
    <w:rsid w:val="003B18F1"/>
    <w:rsid w:val="003B30A0"/>
    <w:rsid w:val="003C145E"/>
    <w:rsid w:val="003C5FC6"/>
    <w:rsid w:val="003C71D0"/>
    <w:rsid w:val="003D0C23"/>
    <w:rsid w:val="003E49AE"/>
    <w:rsid w:val="003E568E"/>
    <w:rsid w:val="003F459B"/>
    <w:rsid w:val="003F7879"/>
    <w:rsid w:val="00410E44"/>
    <w:rsid w:val="00414E49"/>
    <w:rsid w:val="00417592"/>
    <w:rsid w:val="00417C86"/>
    <w:rsid w:val="004242C1"/>
    <w:rsid w:val="004250C5"/>
    <w:rsid w:val="00441E77"/>
    <w:rsid w:val="0044400D"/>
    <w:rsid w:val="0044709F"/>
    <w:rsid w:val="004474FD"/>
    <w:rsid w:val="00453219"/>
    <w:rsid w:val="00454F0E"/>
    <w:rsid w:val="00456F0B"/>
    <w:rsid w:val="00460311"/>
    <w:rsid w:val="0046409B"/>
    <w:rsid w:val="0047080F"/>
    <w:rsid w:val="00470E5B"/>
    <w:rsid w:val="00484855"/>
    <w:rsid w:val="004918E6"/>
    <w:rsid w:val="00492188"/>
    <w:rsid w:val="004A7298"/>
    <w:rsid w:val="004B2ED3"/>
    <w:rsid w:val="004B4197"/>
    <w:rsid w:val="004C4C3F"/>
    <w:rsid w:val="004D61E6"/>
    <w:rsid w:val="004E325D"/>
    <w:rsid w:val="004F2C85"/>
    <w:rsid w:val="004F593E"/>
    <w:rsid w:val="004F722A"/>
    <w:rsid w:val="005010E5"/>
    <w:rsid w:val="00511494"/>
    <w:rsid w:val="00513547"/>
    <w:rsid w:val="00515581"/>
    <w:rsid w:val="00521454"/>
    <w:rsid w:val="00527E1A"/>
    <w:rsid w:val="00533BDF"/>
    <w:rsid w:val="0053404A"/>
    <w:rsid w:val="00537B54"/>
    <w:rsid w:val="005454C6"/>
    <w:rsid w:val="005458E7"/>
    <w:rsid w:val="00557AC2"/>
    <w:rsid w:val="00560097"/>
    <w:rsid w:val="0056135B"/>
    <w:rsid w:val="00565B57"/>
    <w:rsid w:val="0057293D"/>
    <w:rsid w:val="00576217"/>
    <w:rsid w:val="00584CCD"/>
    <w:rsid w:val="005930E0"/>
    <w:rsid w:val="005A059D"/>
    <w:rsid w:val="005A7097"/>
    <w:rsid w:val="005B04F6"/>
    <w:rsid w:val="005B1D99"/>
    <w:rsid w:val="005C08D5"/>
    <w:rsid w:val="005C3552"/>
    <w:rsid w:val="005C4C56"/>
    <w:rsid w:val="005C55EE"/>
    <w:rsid w:val="005F1A8E"/>
    <w:rsid w:val="005F2725"/>
    <w:rsid w:val="005F39EF"/>
    <w:rsid w:val="00611A0A"/>
    <w:rsid w:val="00612B1C"/>
    <w:rsid w:val="00623D82"/>
    <w:rsid w:val="00627E83"/>
    <w:rsid w:val="0064479E"/>
    <w:rsid w:val="00674825"/>
    <w:rsid w:val="00693EEC"/>
    <w:rsid w:val="006A4603"/>
    <w:rsid w:val="006D2EE1"/>
    <w:rsid w:val="006D6105"/>
    <w:rsid w:val="006E34E1"/>
    <w:rsid w:val="006E3B74"/>
    <w:rsid w:val="006F7A19"/>
    <w:rsid w:val="00701C94"/>
    <w:rsid w:val="00705D6E"/>
    <w:rsid w:val="00724880"/>
    <w:rsid w:val="0072648F"/>
    <w:rsid w:val="00734EC6"/>
    <w:rsid w:val="007369FF"/>
    <w:rsid w:val="007375BE"/>
    <w:rsid w:val="00737C09"/>
    <w:rsid w:val="0074640C"/>
    <w:rsid w:val="00755527"/>
    <w:rsid w:val="00757745"/>
    <w:rsid w:val="0077418A"/>
    <w:rsid w:val="00792ED8"/>
    <w:rsid w:val="007B4222"/>
    <w:rsid w:val="007B732B"/>
    <w:rsid w:val="007C5457"/>
    <w:rsid w:val="007E427B"/>
    <w:rsid w:val="007E53CC"/>
    <w:rsid w:val="007F0AD7"/>
    <w:rsid w:val="007F5359"/>
    <w:rsid w:val="008002D7"/>
    <w:rsid w:val="0080489D"/>
    <w:rsid w:val="00810ADB"/>
    <w:rsid w:val="008113F8"/>
    <w:rsid w:val="00813B28"/>
    <w:rsid w:val="00813BD1"/>
    <w:rsid w:val="008247B1"/>
    <w:rsid w:val="0083475A"/>
    <w:rsid w:val="00835956"/>
    <w:rsid w:val="00846021"/>
    <w:rsid w:val="00850A17"/>
    <w:rsid w:val="00876128"/>
    <w:rsid w:val="00880B45"/>
    <w:rsid w:val="008B2A10"/>
    <w:rsid w:val="008C0527"/>
    <w:rsid w:val="008C0AA1"/>
    <w:rsid w:val="008C1CEC"/>
    <w:rsid w:val="008D2198"/>
    <w:rsid w:val="008D7769"/>
    <w:rsid w:val="008E0DC0"/>
    <w:rsid w:val="008E7AFA"/>
    <w:rsid w:val="009013A6"/>
    <w:rsid w:val="00903D1F"/>
    <w:rsid w:val="00905260"/>
    <w:rsid w:val="00910069"/>
    <w:rsid w:val="00912E38"/>
    <w:rsid w:val="0094497A"/>
    <w:rsid w:val="009514BA"/>
    <w:rsid w:val="009602CE"/>
    <w:rsid w:val="00960DAA"/>
    <w:rsid w:val="00960E39"/>
    <w:rsid w:val="009734A4"/>
    <w:rsid w:val="00977973"/>
    <w:rsid w:val="00987A8D"/>
    <w:rsid w:val="0099340D"/>
    <w:rsid w:val="00994249"/>
    <w:rsid w:val="009B0DB3"/>
    <w:rsid w:val="009B291F"/>
    <w:rsid w:val="009B4EDA"/>
    <w:rsid w:val="009B79BF"/>
    <w:rsid w:val="009C3B33"/>
    <w:rsid w:val="009E37EC"/>
    <w:rsid w:val="009F2A65"/>
    <w:rsid w:val="009F39BC"/>
    <w:rsid w:val="00A0198B"/>
    <w:rsid w:val="00A17104"/>
    <w:rsid w:val="00A241AC"/>
    <w:rsid w:val="00A25FB9"/>
    <w:rsid w:val="00A27686"/>
    <w:rsid w:val="00A30A78"/>
    <w:rsid w:val="00A352C3"/>
    <w:rsid w:val="00A42D90"/>
    <w:rsid w:val="00A53C89"/>
    <w:rsid w:val="00A54B65"/>
    <w:rsid w:val="00A56E88"/>
    <w:rsid w:val="00A66145"/>
    <w:rsid w:val="00A67054"/>
    <w:rsid w:val="00A70C57"/>
    <w:rsid w:val="00A80A61"/>
    <w:rsid w:val="00A833D5"/>
    <w:rsid w:val="00AB7CCB"/>
    <w:rsid w:val="00AD43A8"/>
    <w:rsid w:val="00AE7DB1"/>
    <w:rsid w:val="00AF501D"/>
    <w:rsid w:val="00B06463"/>
    <w:rsid w:val="00B10D00"/>
    <w:rsid w:val="00B114A2"/>
    <w:rsid w:val="00B13551"/>
    <w:rsid w:val="00B163DF"/>
    <w:rsid w:val="00B217CD"/>
    <w:rsid w:val="00B246C5"/>
    <w:rsid w:val="00B35F3F"/>
    <w:rsid w:val="00B37F8C"/>
    <w:rsid w:val="00B61605"/>
    <w:rsid w:val="00B7062B"/>
    <w:rsid w:val="00B806F1"/>
    <w:rsid w:val="00B82FA9"/>
    <w:rsid w:val="00B87BCB"/>
    <w:rsid w:val="00BA10F6"/>
    <w:rsid w:val="00BA49B8"/>
    <w:rsid w:val="00BB45D3"/>
    <w:rsid w:val="00BC2003"/>
    <w:rsid w:val="00BD5694"/>
    <w:rsid w:val="00BD58FF"/>
    <w:rsid w:val="00BD7FD7"/>
    <w:rsid w:val="00BE3AC4"/>
    <w:rsid w:val="00BE53A7"/>
    <w:rsid w:val="00BF053B"/>
    <w:rsid w:val="00BF65ED"/>
    <w:rsid w:val="00C05664"/>
    <w:rsid w:val="00C059F4"/>
    <w:rsid w:val="00C06839"/>
    <w:rsid w:val="00C06EEF"/>
    <w:rsid w:val="00C20FA8"/>
    <w:rsid w:val="00C32AB1"/>
    <w:rsid w:val="00C35947"/>
    <w:rsid w:val="00C35E0E"/>
    <w:rsid w:val="00C4240D"/>
    <w:rsid w:val="00C45F93"/>
    <w:rsid w:val="00C50A53"/>
    <w:rsid w:val="00C532D1"/>
    <w:rsid w:val="00C5764D"/>
    <w:rsid w:val="00C63BFF"/>
    <w:rsid w:val="00C76839"/>
    <w:rsid w:val="00C855B0"/>
    <w:rsid w:val="00C92BDC"/>
    <w:rsid w:val="00C93867"/>
    <w:rsid w:val="00C97369"/>
    <w:rsid w:val="00CB09F9"/>
    <w:rsid w:val="00CB1233"/>
    <w:rsid w:val="00CB1C7F"/>
    <w:rsid w:val="00CB6E75"/>
    <w:rsid w:val="00CC12A8"/>
    <w:rsid w:val="00CD66EA"/>
    <w:rsid w:val="00CE2A5C"/>
    <w:rsid w:val="00D0231D"/>
    <w:rsid w:val="00D02F3E"/>
    <w:rsid w:val="00D10538"/>
    <w:rsid w:val="00D32FF5"/>
    <w:rsid w:val="00D44807"/>
    <w:rsid w:val="00D465B0"/>
    <w:rsid w:val="00D520DA"/>
    <w:rsid w:val="00D70D54"/>
    <w:rsid w:val="00D91AC3"/>
    <w:rsid w:val="00D9309C"/>
    <w:rsid w:val="00D9313D"/>
    <w:rsid w:val="00D931B3"/>
    <w:rsid w:val="00D9779E"/>
    <w:rsid w:val="00DA4DF6"/>
    <w:rsid w:val="00DA5204"/>
    <w:rsid w:val="00DB425A"/>
    <w:rsid w:val="00DB7120"/>
    <w:rsid w:val="00DC1582"/>
    <w:rsid w:val="00DD4EAB"/>
    <w:rsid w:val="00DD5290"/>
    <w:rsid w:val="00DF013A"/>
    <w:rsid w:val="00DF0E02"/>
    <w:rsid w:val="00DF5928"/>
    <w:rsid w:val="00E07C9C"/>
    <w:rsid w:val="00E302A5"/>
    <w:rsid w:val="00E34768"/>
    <w:rsid w:val="00E34B42"/>
    <w:rsid w:val="00E41A4C"/>
    <w:rsid w:val="00E60F81"/>
    <w:rsid w:val="00E61246"/>
    <w:rsid w:val="00E61A3A"/>
    <w:rsid w:val="00E755F1"/>
    <w:rsid w:val="00E77680"/>
    <w:rsid w:val="00E80CD2"/>
    <w:rsid w:val="00E8116D"/>
    <w:rsid w:val="00E86DB5"/>
    <w:rsid w:val="00E92493"/>
    <w:rsid w:val="00E9299E"/>
    <w:rsid w:val="00EA46B1"/>
    <w:rsid w:val="00EA7F82"/>
    <w:rsid w:val="00EB1CA7"/>
    <w:rsid w:val="00EB5B9E"/>
    <w:rsid w:val="00EC3F14"/>
    <w:rsid w:val="00EC45A5"/>
    <w:rsid w:val="00EC6155"/>
    <w:rsid w:val="00EE3094"/>
    <w:rsid w:val="00EF55BB"/>
    <w:rsid w:val="00F00185"/>
    <w:rsid w:val="00F0790D"/>
    <w:rsid w:val="00F25A9C"/>
    <w:rsid w:val="00F262A3"/>
    <w:rsid w:val="00F401E4"/>
    <w:rsid w:val="00F4258F"/>
    <w:rsid w:val="00F4370D"/>
    <w:rsid w:val="00F50B0F"/>
    <w:rsid w:val="00F552F7"/>
    <w:rsid w:val="00F561F0"/>
    <w:rsid w:val="00F63B41"/>
    <w:rsid w:val="00F80FCA"/>
    <w:rsid w:val="00F82D2B"/>
    <w:rsid w:val="00F8395A"/>
    <w:rsid w:val="00F85647"/>
    <w:rsid w:val="00F9572F"/>
    <w:rsid w:val="00FB01E8"/>
    <w:rsid w:val="00FB0BCB"/>
    <w:rsid w:val="00FB20E4"/>
    <w:rsid w:val="00FC3574"/>
    <w:rsid w:val="00FD386E"/>
    <w:rsid w:val="00FF0699"/>
    <w:rsid w:val="00FF1BCB"/>
    <w:rsid w:val="00FF7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15E8B2A4"/>
  <w15:docId w15:val="{FAE9FF60-912C-4CB5-AE42-AEFF69F9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DC4"/>
    <w:rPr>
      <w:rFonts w:ascii="Arial" w:eastAsia="Times New Roman" w:hAnsi="Arial"/>
      <w:spacing w:val="-5"/>
      <w:lang w:eastAsia="en-US"/>
    </w:rPr>
  </w:style>
  <w:style w:type="paragraph" w:styleId="Heading1">
    <w:name w:val="heading 1"/>
    <w:basedOn w:val="Normal"/>
    <w:next w:val="BodyText"/>
    <w:link w:val="Heading1Char"/>
    <w:qFormat/>
    <w:rsid w:val="00F561F0"/>
    <w:pPr>
      <w:keepNext/>
      <w:keepLines/>
      <w:spacing w:after="220" w:line="200" w:lineRule="atLeast"/>
      <w:outlineLvl w:val="0"/>
    </w:pPr>
    <w:rPr>
      <w:rFonts w:ascii="Arial Black" w:hAnsi="Arial Black"/>
      <w:spacing w:val="-1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87DC4"/>
    <w:pPr>
      <w:spacing w:after="220" w:line="180" w:lineRule="atLeast"/>
      <w:jc w:val="both"/>
    </w:pPr>
    <w:rPr>
      <w:rFonts w:ascii="Times New Roman" w:hAnsi="Times New Roman"/>
      <w:spacing w:val="0"/>
      <w:sz w:val="22"/>
    </w:rPr>
  </w:style>
  <w:style w:type="character" w:customStyle="1" w:styleId="BodyTextChar">
    <w:name w:val="Body Text Char"/>
    <w:basedOn w:val="DefaultParagraphFont"/>
    <w:link w:val="BodyText"/>
    <w:rsid w:val="00187DC4"/>
    <w:rPr>
      <w:rFonts w:ascii="Times New Roman" w:eastAsia="Times New Roman" w:hAnsi="Times New Roman" w:cs="Times New Roman"/>
      <w:szCs w:val="20"/>
    </w:rPr>
  </w:style>
  <w:style w:type="paragraph" w:styleId="Footer">
    <w:name w:val="footer"/>
    <w:basedOn w:val="Normal"/>
    <w:link w:val="FooterChar"/>
    <w:rsid w:val="00187DC4"/>
    <w:pPr>
      <w:tabs>
        <w:tab w:val="center" w:pos="4153"/>
        <w:tab w:val="right" w:pos="8306"/>
      </w:tabs>
    </w:pPr>
  </w:style>
  <w:style w:type="character" w:customStyle="1" w:styleId="FooterChar">
    <w:name w:val="Footer Char"/>
    <w:basedOn w:val="DefaultParagraphFont"/>
    <w:link w:val="Footer"/>
    <w:rsid w:val="00187DC4"/>
    <w:rPr>
      <w:rFonts w:ascii="Arial" w:eastAsia="Times New Roman" w:hAnsi="Arial" w:cs="Times New Roman"/>
      <w:spacing w:val="-5"/>
      <w:sz w:val="20"/>
      <w:szCs w:val="20"/>
    </w:rPr>
  </w:style>
  <w:style w:type="paragraph" w:styleId="BalloonText">
    <w:name w:val="Balloon Text"/>
    <w:basedOn w:val="Normal"/>
    <w:link w:val="BalloonTextChar"/>
    <w:uiPriority w:val="99"/>
    <w:semiHidden/>
    <w:unhideWhenUsed/>
    <w:rsid w:val="00187DC4"/>
    <w:rPr>
      <w:rFonts w:ascii="Tahoma" w:hAnsi="Tahoma" w:cs="Tahoma"/>
      <w:sz w:val="16"/>
      <w:szCs w:val="16"/>
    </w:rPr>
  </w:style>
  <w:style w:type="character" w:customStyle="1" w:styleId="BalloonTextChar">
    <w:name w:val="Balloon Text Char"/>
    <w:basedOn w:val="DefaultParagraphFont"/>
    <w:link w:val="BalloonText"/>
    <w:uiPriority w:val="99"/>
    <w:semiHidden/>
    <w:rsid w:val="00187DC4"/>
    <w:rPr>
      <w:rFonts w:ascii="Tahoma" w:eastAsia="Times New Roman" w:hAnsi="Tahoma" w:cs="Tahoma"/>
      <w:spacing w:val="-5"/>
      <w:sz w:val="16"/>
      <w:szCs w:val="16"/>
    </w:rPr>
  </w:style>
  <w:style w:type="paragraph" w:styleId="ListParagraph">
    <w:name w:val="List Paragraph"/>
    <w:basedOn w:val="Normal"/>
    <w:uiPriority w:val="99"/>
    <w:qFormat/>
    <w:rsid w:val="00F63B41"/>
    <w:pPr>
      <w:ind w:left="720"/>
      <w:contextualSpacing/>
    </w:pPr>
  </w:style>
  <w:style w:type="table" w:styleId="TableGrid">
    <w:name w:val="Table Grid"/>
    <w:basedOn w:val="TableNormal"/>
    <w:uiPriority w:val="99"/>
    <w:rsid w:val="00F63B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F561F0"/>
    <w:rPr>
      <w:rFonts w:ascii="Arial Black" w:eastAsia="Times New Roman" w:hAnsi="Arial Black"/>
      <w:spacing w:val="-10"/>
      <w:kern w:val="28"/>
      <w:sz w:val="22"/>
      <w:lang w:eastAsia="en-US"/>
    </w:rPr>
  </w:style>
  <w:style w:type="numbering" w:customStyle="1" w:styleId="SectorList">
    <w:name w:val="SectorList"/>
    <w:rsid w:val="00140FD1"/>
    <w:pPr>
      <w:numPr>
        <w:numId w:val="9"/>
      </w:numPr>
    </w:pPr>
  </w:style>
  <w:style w:type="paragraph" w:styleId="Header">
    <w:name w:val="header"/>
    <w:basedOn w:val="Normal"/>
    <w:link w:val="HeaderChar"/>
    <w:uiPriority w:val="99"/>
    <w:unhideWhenUsed/>
    <w:rsid w:val="00345908"/>
    <w:pPr>
      <w:tabs>
        <w:tab w:val="center" w:pos="4513"/>
        <w:tab w:val="right" w:pos="9026"/>
      </w:tabs>
    </w:pPr>
  </w:style>
  <w:style w:type="character" w:customStyle="1" w:styleId="HeaderChar">
    <w:name w:val="Header Char"/>
    <w:basedOn w:val="DefaultParagraphFont"/>
    <w:link w:val="Header"/>
    <w:uiPriority w:val="99"/>
    <w:rsid w:val="00345908"/>
    <w:rPr>
      <w:rFonts w:ascii="Arial" w:eastAsia="Times New Roman" w:hAnsi="Arial"/>
      <w:spacing w:val="-5"/>
      <w:lang w:eastAsia="en-US"/>
    </w:rPr>
  </w:style>
  <w:style w:type="paragraph" w:styleId="ListBullet">
    <w:name w:val="List Bullet"/>
    <w:basedOn w:val="Normal"/>
    <w:uiPriority w:val="2"/>
    <w:qFormat/>
    <w:rsid w:val="00576217"/>
    <w:pPr>
      <w:numPr>
        <w:numId w:val="13"/>
      </w:numPr>
      <w:spacing w:before="120" w:after="120"/>
    </w:pPr>
    <w:rPr>
      <w:rFonts w:eastAsia="Arial"/>
      <w:color w:val="4E4E50"/>
      <w:spacing w:val="0"/>
      <w:sz w:val="22"/>
      <w:szCs w:val="22"/>
      <w:lang w:val="en-AU"/>
    </w:rPr>
  </w:style>
  <w:style w:type="paragraph" w:customStyle="1" w:styleId="BulletTypeA">
    <w:name w:val="Bullet Type A"/>
    <w:basedOn w:val="ListBullet"/>
    <w:rsid w:val="00576217"/>
    <w:pPr>
      <w:tabs>
        <w:tab w:val="clear" w:pos="360"/>
      </w:tabs>
      <w:spacing w:before="0"/>
      <w:ind w:left="2724"/>
      <w:jc w:val="both"/>
    </w:pPr>
    <w:rPr>
      <w:rFonts w:ascii="Optima LT Std" w:eastAsiaTheme="minorHAnsi" w:hAnsi="Optima LT Std" w:cstheme="minorBidi"/>
      <w:color w:val="auto"/>
      <w:sz w:val="20"/>
      <w:szCs w:val="20"/>
      <w:lang w:val="en-GB"/>
    </w:rPr>
  </w:style>
  <w:style w:type="paragraph" w:styleId="Revision">
    <w:name w:val="Revision"/>
    <w:hidden/>
    <w:uiPriority w:val="99"/>
    <w:semiHidden/>
    <w:rsid w:val="00FC3574"/>
    <w:rPr>
      <w:rFonts w:ascii="Arial" w:eastAsia="Times New Roman" w:hAnsi="Arial"/>
      <w:spacing w:val="-5"/>
      <w:lang w:eastAsia="en-US"/>
    </w:rPr>
  </w:style>
  <w:style w:type="paragraph" w:styleId="BodyText2">
    <w:name w:val="Body Text 2"/>
    <w:basedOn w:val="Normal"/>
    <w:link w:val="BodyText2Char"/>
    <w:uiPriority w:val="99"/>
    <w:semiHidden/>
    <w:unhideWhenUsed/>
    <w:rsid w:val="000F2D21"/>
    <w:pPr>
      <w:spacing w:after="120" w:line="480" w:lineRule="auto"/>
    </w:pPr>
  </w:style>
  <w:style w:type="character" w:customStyle="1" w:styleId="BodyText2Char">
    <w:name w:val="Body Text 2 Char"/>
    <w:basedOn w:val="DefaultParagraphFont"/>
    <w:link w:val="BodyText2"/>
    <w:uiPriority w:val="99"/>
    <w:semiHidden/>
    <w:rsid w:val="000F2D21"/>
    <w:rPr>
      <w:rFonts w:ascii="Arial" w:eastAsia="Times New Roman" w:hAnsi="Arial"/>
      <w:spacing w:val="-5"/>
      <w:lang w:eastAsia="en-US"/>
    </w:rPr>
  </w:style>
  <w:style w:type="paragraph" w:styleId="NoSpacing">
    <w:name w:val="No Spacing"/>
    <w:uiPriority w:val="99"/>
    <w:qFormat/>
    <w:rsid w:val="002422D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94425">
      <w:bodyDiv w:val="1"/>
      <w:marLeft w:val="0"/>
      <w:marRight w:val="0"/>
      <w:marTop w:val="0"/>
      <w:marBottom w:val="0"/>
      <w:divBdr>
        <w:top w:val="none" w:sz="0" w:space="0" w:color="auto"/>
        <w:left w:val="none" w:sz="0" w:space="0" w:color="auto"/>
        <w:bottom w:val="none" w:sz="0" w:space="0" w:color="auto"/>
        <w:right w:val="none" w:sz="0" w:space="0" w:color="auto"/>
      </w:divBdr>
    </w:div>
    <w:div w:id="405880371">
      <w:bodyDiv w:val="1"/>
      <w:marLeft w:val="0"/>
      <w:marRight w:val="0"/>
      <w:marTop w:val="0"/>
      <w:marBottom w:val="0"/>
      <w:divBdr>
        <w:top w:val="none" w:sz="0" w:space="0" w:color="auto"/>
        <w:left w:val="none" w:sz="0" w:space="0" w:color="auto"/>
        <w:bottom w:val="none" w:sz="0" w:space="0" w:color="auto"/>
        <w:right w:val="none" w:sz="0" w:space="0" w:color="auto"/>
      </w:divBdr>
    </w:div>
    <w:div w:id="413474889">
      <w:bodyDiv w:val="1"/>
      <w:marLeft w:val="0"/>
      <w:marRight w:val="0"/>
      <w:marTop w:val="0"/>
      <w:marBottom w:val="0"/>
      <w:divBdr>
        <w:top w:val="none" w:sz="0" w:space="0" w:color="auto"/>
        <w:left w:val="none" w:sz="0" w:space="0" w:color="auto"/>
        <w:bottom w:val="none" w:sz="0" w:space="0" w:color="auto"/>
        <w:right w:val="none" w:sz="0" w:space="0" w:color="auto"/>
      </w:divBdr>
    </w:div>
    <w:div w:id="513807751">
      <w:bodyDiv w:val="1"/>
      <w:marLeft w:val="0"/>
      <w:marRight w:val="0"/>
      <w:marTop w:val="0"/>
      <w:marBottom w:val="0"/>
      <w:divBdr>
        <w:top w:val="none" w:sz="0" w:space="0" w:color="auto"/>
        <w:left w:val="none" w:sz="0" w:space="0" w:color="auto"/>
        <w:bottom w:val="none" w:sz="0" w:space="0" w:color="auto"/>
        <w:right w:val="none" w:sz="0" w:space="0" w:color="auto"/>
      </w:divBdr>
    </w:div>
    <w:div w:id="634220814">
      <w:bodyDiv w:val="1"/>
      <w:marLeft w:val="0"/>
      <w:marRight w:val="0"/>
      <w:marTop w:val="0"/>
      <w:marBottom w:val="0"/>
      <w:divBdr>
        <w:top w:val="none" w:sz="0" w:space="0" w:color="auto"/>
        <w:left w:val="none" w:sz="0" w:space="0" w:color="auto"/>
        <w:bottom w:val="none" w:sz="0" w:space="0" w:color="auto"/>
        <w:right w:val="none" w:sz="0" w:space="0" w:color="auto"/>
      </w:divBdr>
    </w:div>
    <w:div w:id="644894678">
      <w:bodyDiv w:val="1"/>
      <w:marLeft w:val="0"/>
      <w:marRight w:val="0"/>
      <w:marTop w:val="0"/>
      <w:marBottom w:val="0"/>
      <w:divBdr>
        <w:top w:val="none" w:sz="0" w:space="0" w:color="auto"/>
        <w:left w:val="none" w:sz="0" w:space="0" w:color="auto"/>
        <w:bottom w:val="none" w:sz="0" w:space="0" w:color="auto"/>
        <w:right w:val="none" w:sz="0" w:space="0" w:color="auto"/>
      </w:divBdr>
    </w:div>
    <w:div w:id="1221164279">
      <w:bodyDiv w:val="1"/>
      <w:marLeft w:val="0"/>
      <w:marRight w:val="0"/>
      <w:marTop w:val="0"/>
      <w:marBottom w:val="0"/>
      <w:divBdr>
        <w:top w:val="none" w:sz="0" w:space="0" w:color="auto"/>
        <w:left w:val="none" w:sz="0" w:space="0" w:color="auto"/>
        <w:bottom w:val="none" w:sz="0" w:space="0" w:color="auto"/>
        <w:right w:val="none" w:sz="0" w:space="0" w:color="auto"/>
      </w:divBdr>
    </w:div>
    <w:div w:id="1226529143">
      <w:bodyDiv w:val="1"/>
      <w:marLeft w:val="0"/>
      <w:marRight w:val="0"/>
      <w:marTop w:val="0"/>
      <w:marBottom w:val="0"/>
      <w:divBdr>
        <w:top w:val="none" w:sz="0" w:space="0" w:color="auto"/>
        <w:left w:val="none" w:sz="0" w:space="0" w:color="auto"/>
        <w:bottom w:val="none" w:sz="0" w:space="0" w:color="auto"/>
        <w:right w:val="none" w:sz="0" w:space="0" w:color="auto"/>
      </w:divBdr>
    </w:div>
    <w:div w:id="1266426676">
      <w:bodyDiv w:val="1"/>
      <w:marLeft w:val="0"/>
      <w:marRight w:val="0"/>
      <w:marTop w:val="0"/>
      <w:marBottom w:val="0"/>
      <w:divBdr>
        <w:top w:val="none" w:sz="0" w:space="0" w:color="auto"/>
        <w:left w:val="none" w:sz="0" w:space="0" w:color="auto"/>
        <w:bottom w:val="none" w:sz="0" w:space="0" w:color="auto"/>
        <w:right w:val="none" w:sz="0" w:space="0" w:color="auto"/>
      </w:divBdr>
    </w:div>
    <w:div w:id="1293250981">
      <w:bodyDiv w:val="1"/>
      <w:marLeft w:val="0"/>
      <w:marRight w:val="0"/>
      <w:marTop w:val="0"/>
      <w:marBottom w:val="0"/>
      <w:divBdr>
        <w:top w:val="none" w:sz="0" w:space="0" w:color="auto"/>
        <w:left w:val="none" w:sz="0" w:space="0" w:color="auto"/>
        <w:bottom w:val="none" w:sz="0" w:space="0" w:color="auto"/>
        <w:right w:val="none" w:sz="0" w:space="0" w:color="auto"/>
      </w:divBdr>
    </w:div>
    <w:div w:id="1357775769">
      <w:bodyDiv w:val="1"/>
      <w:marLeft w:val="0"/>
      <w:marRight w:val="0"/>
      <w:marTop w:val="0"/>
      <w:marBottom w:val="0"/>
      <w:divBdr>
        <w:top w:val="none" w:sz="0" w:space="0" w:color="auto"/>
        <w:left w:val="none" w:sz="0" w:space="0" w:color="auto"/>
        <w:bottom w:val="none" w:sz="0" w:space="0" w:color="auto"/>
        <w:right w:val="none" w:sz="0" w:space="0" w:color="auto"/>
      </w:divBdr>
    </w:div>
    <w:div w:id="1603339754">
      <w:bodyDiv w:val="1"/>
      <w:marLeft w:val="0"/>
      <w:marRight w:val="0"/>
      <w:marTop w:val="0"/>
      <w:marBottom w:val="0"/>
      <w:divBdr>
        <w:top w:val="none" w:sz="0" w:space="0" w:color="auto"/>
        <w:left w:val="none" w:sz="0" w:space="0" w:color="auto"/>
        <w:bottom w:val="none" w:sz="0" w:space="0" w:color="auto"/>
        <w:right w:val="none" w:sz="0" w:space="0" w:color="auto"/>
      </w:divBdr>
    </w:div>
    <w:div w:id="184732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7.7985893045934382E-2"/>
          <c:y val="0.10582108644361693"/>
          <c:w val="0.54671400543869897"/>
          <c:h val="0.76910391616210427"/>
        </c:manualLayout>
      </c:layout>
      <c:pie3DChart>
        <c:varyColors val="1"/>
        <c:ser>
          <c:idx val="0"/>
          <c:order val="0"/>
          <c:tx>
            <c:strRef>
              <c:f>'Debt Maturity'!$O$2</c:f>
              <c:strCache>
                <c:ptCount val="1"/>
                <c:pt idx="0">
                  <c:v>Debt Maturity as at 30/09/23</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'Debt Maturity'!$N$3:$N$7</c:f>
              <c:strCache>
                <c:ptCount val="5"/>
                <c:pt idx="0">
                  <c:v>Less than 1 year</c:v>
                </c:pt>
                <c:pt idx="1">
                  <c:v>Between 1 and 2 years</c:v>
                </c:pt>
                <c:pt idx="2">
                  <c:v>Between 2 and 5 years</c:v>
                </c:pt>
                <c:pt idx="3">
                  <c:v>More than 5 years</c:v>
                </c:pt>
                <c:pt idx="4">
                  <c:v>More than 10 years</c:v>
                </c:pt>
              </c:strCache>
            </c:strRef>
          </c:cat>
          <c:val>
            <c:numRef>
              <c:f>'Debt Maturity'!$O$3:$O$7</c:f>
              <c:numCache>
                <c:formatCode>#,##0.00</c:formatCode>
                <c:ptCount val="5"/>
                <c:pt idx="0">
                  <c:v>4161102.52</c:v>
                </c:pt>
                <c:pt idx="1">
                  <c:v>1067611.24</c:v>
                </c:pt>
                <c:pt idx="2">
                  <c:v>5550565.6699999999</c:v>
                </c:pt>
                <c:pt idx="3">
                  <c:v>7562908.7400000002</c:v>
                </c:pt>
                <c:pt idx="4">
                  <c:v>45446189.609999999</c:v>
                </c:pt>
              </c:numCache>
            </c:numRef>
          </c:val>
          <c:extLst>
            <c:ext xmlns:c16="http://schemas.microsoft.com/office/drawing/2014/chart" uri="{C3380CC4-5D6E-409C-BE32-E72D297353CC}">
              <c16:uniqueId val="{00000000-966F-4248-B4FE-7B6BD6F9466E}"/>
            </c:ext>
          </c:extLst>
        </c:ser>
        <c:ser>
          <c:idx val="1"/>
          <c:order val="1"/>
          <c:tx>
            <c:strRef>
              <c:f>'Debt Maturity'!$P$2</c:f>
              <c:strCache>
                <c:ptCount val="1"/>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'Debt Maturity'!$N$3:$N$7</c:f>
              <c:strCache>
                <c:ptCount val="5"/>
                <c:pt idx="0">
                  <c:v>Less than 1 year</c:v>
                </c:pt>
                <c:pt idx="1">
                  <c:v>Between 1 and 2 years</c:v>
                </c:pt>
                <c:pt idx="2">
                  <c:v>Between 2 and 5 years</c:v>
                </c:pt>
                <c:pt idx="3">
                  <c:v>More than 5 years</c:v>
                </c:pt>
                <c:pt idx="4">
                  <c:v>More than 10 years</c:v>
                </c:pt>
              </c:strCache>
            </c:strRef>
          </c:cat>
          <c:val>
            <c:numRef>
              <c:f>'Debt Maturity'!$P$3:$P$7</c:f>
              <c:numCache>
                <c:formatCode>#,##0</c:formatCode>
                <c:ptCount val="5"/>
                <c:pt idx="0">
                  <c:v>4161</c:v>
                </c:pt>
                <c:pt idx="1">
                  <c:v>1068</c:v>
                </c:pt>
                <c:pt idx="2">
                  <c:v>5551</c:v>
                </c:pt>
                <c:pt idx="3">
                  <c:v>7563</c:v>
                </c:pt>
                <c:pt idx="4">
                  <c:v>45447</c:v>
                </c:pt>
              </c:numCache>
            </c:numRef>
          </c:val>
          <c:extLst>
            <c:ext xmlns:c16="http://schemas.microsoft.com/office/drawing/2014/chart" uri="{C3380CC4-5D6E-409C-BE32-E72D297353CC}">
              <c16:uniqueId val="{00000001-966F-4248-B4FE-7B6BD6F9466E}"/>
            </c:ext>
          </c:extLst>
        </c:ser>
        <c:ser>
          <c:idx val="2"/>
          <c:order val="2"/>
          <c:tx>
            <c:strRef>
              <c:f>'Debt Maturity'!$Q$2</c:f>
              <c:strCache>
                <c:ptCount val="1"/>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'Debt Maturity'!$N$3:$N$7</c:f>
              <c:strCache>
                <c:ptCount val="5"/>
                <c:pt idx="0">
                  <c:v>Less than 1 year</c:v>
                </c:pt>
                <c:pt idx="1">
                  <c:v>Between 1 and 2 years</c:v>
                </c:pt>
                <c:pt idx="2">
                  <c:v>Between 2 and 5 years</c:v>
                </c:pt>
                <c:pt idx="3">
                  <c:v>More than 5 years</c:v>
                </c:pt>
                <c:pt idx="4">
                  <c:v>More than 10 years</c:v>
                </c:pt>
              </c:strCache>
            </c:strRef>
          </c:cat>
          <c:val>
            <c:numRef>
              <c:f>'Debt Maturity'!$Q$3:$Q$7</c:f>
              <c:numCache>
                <c:formatCode>0.0%</c:formatCode>
                <c:ptCount val="5"/>
                <c:pt idx="0">
                  <c:v>6.52329258842613E-2</c:v>
                </c:pt>
                <c:pt idx="1">
                  <c:v>1.673676737292315E-2</c:v>
                </c:pt>
                <c:pt idx="2">
                  <c:v>8.7015313183592291E-2</c:v>
                </c:pt>
                <c:pt idx="3">
                  <c:v>0.11856248745004533</c:v>
                </c:pt>
                <c:pt idx="4">
                  <c:v>0.71245250610917787</c:v>
                </c:pt>
              </c:numCache>
            </c:numRef>
          </c:val>
          <c:extLst>
            <c:ext xmlns:c16="http://schemas.microsoft.com/office/drawing/2014/chart" uri="{C3380CC4-5D6E-409C-BE32-E72D297353CC}">
              <c16:uniqueId val="{00000002-966F-4248-B4FE-7B6BD6F9466E}"/>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7290B-CD70-4C28-97C5-E5C8AEA0D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1684</Words>
  <Characters>9604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Nottinghamshire Police</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10. TM Mid-Year review</dc:title>
  <dc:creator>3001291</dc:creator>
  <cp:lastModifiedBy>Emma Lau</cp:lastModifiedBy>
  <cp:revision>4</cp:revision>
  <cp:lastPrinted>2023-07-05T14:58:00Z</cp:lastPrinted>
  <dcterms:created xsi:type="dcterms:W3CDTF">2023-11-15T10:49:00Z</dcterms:created>
  <dcterms:modified xsi:type="dcterms:W3CDTF">2023-11-20T08:18:55Z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2023-05-23T13:08:48Z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55da3891-7905-4dac-b877-25e93521c5e3</vt:lpwstr>
  </property>
  <property fmtid="{D5CDD505-2E9C-101B-9397-08002B2CF9AE}" pid="8" name="MSIP_Label_0c9a534a-49dd-43c4-b4e5-f206b4dbf0e4_ContentBits">
    <vt:lpwstr>0</vt:lpwstr>
  </property>
</Properties>
</file>