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7081"/>
      </w:tblGrid>
      <w:tr w:rsidRPr="004D3483" w:rsidR="00A547F3" w:rsidTr="009B4DBE" w14:paraId="3FAADB15" w14:textId="77777777">
        <w:trPr>
          <w:trHeight w:val="271"/>
        </w:trPr>
        <w:tc>
          <w:tcPr>
            <w:tcW w:w="9498" w:type="dxa"/>
            <w:gridSpan w:val="2"/>
          </w:tcPr>
          <w:p w:rsidRPr="00826D93" w:rsidR="00A547F3" w:rsidP="00121FD2" w:rsidRDefault="00A547F3" w14:paraId="68D7F3A4" w14:textId="77777777">
            <w:pPr>
              <w:pStyle w:val="NoSpacing"/>
              <w:jc w:val="both"/>
              <w:rPr>
                <w:rFonts w:ascii="Arial" w:hAnsi="Arial" w:cs="Arial"/>
                <w:b/>
                <w:sz w:val="24"/>
                <w:szCs w:val="24"/>
              </w:rPr>
            </w:pPr>
            <w:r>
              <w:rPr>
                <w:rFonts w:ascii="Arial" w:hAnsi="Arial" w:cs="Arial"/>
                <w:b/>
                <w:sz w:val="24"/>
                <w:szCs w:val="24"/>
              </w:rPr>
              <w:t>Consideration</w:t>
            </w:r>
          </w:p>
        </w:tc>
      </w:tr>
      <w:tr w:rsidRPr="004D3483" w:rsidR="00A547F3" w:rsidTr="009B4DBE" w14:paraId="4F790251" w14:textId="77777777">
        <w:trPr>
          <w:trHeight w:val="271"/>
        </w:trPr>
        <w:tc>
          <w:tcPr>
            <w:tcW w:w="2417" w:type="dxa"/>
          </w:tcPr>
          <w:p w:rsidRPr="00826D93" w:rsidR="00A547F3" w:rsidP="00121FD2" w:rsidRDefault="00A547F3" w14:paraId="18A37BD0" w14:textId="77777777">
            <w:pPr>
              <w:pStyle w:val="NoSpacing"/>
              <w:jc w:val="both"/>
              <w:rPr>
                <w:rFonts w:ascii="Arial" w:hAnsi="Arial" w:cs="Arial"/>
                <w:b/>
                <w:sz w:val="24"/>
                <w:szCs w:val="24"/>
              </w:rPr>
            </w:pPr>
            <w:r>
              <w:rPr>
                <w:rFonts w:ascii="Arial" w:hAnsi="Arial" w:cs="Arial"/>
                <w:b/>
                <w:sz w:val="24"/>
                <w:szCs w:val="24"/>
              </w:rPr>
              <w:t>Public/</w:t>
            </w:r>
            <w:proofErr w:type="gramStart"/>
            <w:r>
              <w:rPr>
                <w:rFonts w:ascii="Arial" w:hAnsi="Arial" w:cs="Arial"/>
                <w:b/>
                <w:sz w:val="24"/>
                <w:szCs w:val="24"/>
              </w:rPr>
              <w:t>Non Public</w:t>
            </w:r>
            <w:proofErr w:type="gramEnd"/>
            <w:r>
              <w:rPr>
                <w:rFonts w:ascii="Arial" w:hAnsi="Arial" w:cs="Arial"/>
                <w:b/>
                <w:sz w:val="24"/>
                <w:szCs w:val="24"/>
              </w:rPr>
              <w:t>*</w:t>
            </w:r>
          </w:p>
        </w:tc>
        <w:tc>
          <w:tcPr>
            <w:tcW w:w="7081" w:type="dxa"/>
          </w:tcPr>
          <w:p w:rsidRPr="00323E76" w:rsidR="00A547F3" w:rsidP="00121FD2" w:rsidRDefault="00A547F3" w14:paraId="52D1A378" w14:textId="77777777">
            <w:pPr>
              <w:pStyle w:val="NoSpacing"/>
              <w:jc w:val="both"/>
              <w:rPr>
                <w:rFonts w:ascii="Arial" w:hAnsi="Arial" w:cs="Arial"/>
                <w:b/>
                <w:sz w:val="24"/>
                <w:szCs w:val="24"/>
              </w:rPr>
            </w:pPr>
            <w:r w:rsidRPr="00323E76">
              <w:rPr>
                <w:rFonts w:ascii="Arial" w:hAnsi="Arial" w:cs="Arial"/>
                <w:b/>
                <w:sz w:val="24"/>
                <w:szCs w:val="24"/>
              </w:rPr>
              <w:t>Public</w:t>
            </w:r>
          </w:p>
        </w:tc>
      </w:tr>
      <w:tr w:rsidRPr="004D3483" w:rsidR="00A547F3" w:rsidTr="009B4DBE" w14:paraId="2B7FE68C" w14:textId="77777777">
        <w:trPr>
          <w:trHeight w:val="316"/>
        </w:trPr>
        <w:tc>
          <w:tcPr>
            <w:tcW w:w="2417" w:type="dxa"/>
          </w:tcPr>
          <w:p w:rsidRPr="00826D93" w:rsidR="00A547F3" w:rsidP="00121FD2" w:rsidRDefault="00A547F3" w14:paraId="705AC174" w14:textId="77777777">
            <w:pPr>
              <w:pStyle w:val="NoSpacing"/>
              <w:jc w:val="both"/>
              <w:rPr>
                <w:rFonts w:ascii="Arial" w:hAnsi="Arial" w:cs="Arial"/>
                <w:b/>
                <w:sz w:val="24"/>
                <w:szCs w:val="24"/>
              </w:rPr>
            </w:pPr>
            <w:r w:rsidRPr="00826D93">
              <w:rPr>
                <w:rFonts w:ascii="Arial" w:hAnsi="Arial" w:cs="Arial"/>
                <w:b/>
                <w:sz w:val="24"/>
                <w:szCs w:val="24"/>
              </w:rPr>
              <w:t>Report to:</w:t>
            </w:r>
          </w:p>
        </w:tc>
        <w:tc>
          <w:tcPr>
            <w:tcW w:w="7081" w:type="dxa"/>
          </w:tcPr>
          <w:p w:rsidRPr="009E7712" w:rsidR="00EA681B" w:rsidP="009E7712" w:rsidRDefault="00020ACB" w14:paraId="64BC6BC9" w14:textId="77777777">
            <w:pPr>
              <w:pStyle w:val="NoSpacing"/>
              <w:jc w:val="both"/>
              <w:outlineLvl w:val="0"/>
              <w:rPr>
                <w:rFonts w:ascii="Arial" w:hAnsi="Arial" w:cs="Arial"/>
                <w:b/>
                <w:sz w:val="24"/>
                <w:szCs w:val="24"/>
              </w:rPr>
            </w:pPr>
            <w:r>
              <w:rPr>
                <w:rFonts w:ascii="Arial" w:hAnsi="Arial" w:cs="Arial"/>
                <w:b/>
                <w:sz w:val="24"/>
                <w:szCs w:val="24"/>
              </w:rPr>
              <w:t xml:space="preserve">Joint Audit and Scrutiny Panel </w:t>
            </w:r>
          </w:p>
        </w:tc>
      </w:tr>
      <w:tr w:rsidRPr="004D3483" w:rsidR="00A547F3" w:rsidTr="009B4DBE" w14:paraId="5111BAA3" w14:textId="77777777">
        <w:trPr>
          <w:trHeight w:val="271"/>
        </w:trPr>
        <w:tc>
          <w:tcPr>
            <w:tcW w:w="2417" w:type="dxa"/>
          </w:tcPr>
          <w:p w:rsidRPr="00826D93" w:rsidR="00A547F3" w:rsidP="00121FD2" w:rsidRDefault="00A547F3" w14:paraId="64BC4B3E" w14:textId="77777777">
            <w:pPr>
              <w:pStyle w:val="NoSpacing"/>
              <w:jc w:val="both"/>
              <w:rPr>
                <w:rFonts w:ascii="Arial" w:hAnsi="Arial" w:cs="Arial"/>
                <w:b/>
                <w:sz w:val="24"/>
                <w:szCs w:val="24"/>
              </w:rPr>
            </w:pPr>
            <w:r w:rsidRPr="00826D93">
              <w:rPr>
                <w:rFonts w:ascii="Arial" w:hAnsi="Arial" w:cs="Arial"/>
                <w:b/>
                <w:sz w:val="24"/>
                <w:szCs w:val="24"/>
              </w:rPr>
              <w:t>Date of Meeting:</w:t>
            </w:r>
          </w:p>
        </w:tc>
        <w:tc>
          <w:tcPr>
            <w:tcW w:w="7081" w:type="dxa"/>
          </w:tcPr>
          <w:p w:rsidRPr="00323E76" w:rsidR="00A547F3" w:rsidP="00121FD2" w:rsidRDefault="00C00C7B" w14:paraId="269F872E" w14:textId="2F4B0886">
            <w:pPr>
              <w:pStyle w:val="NoSpacing"/>
              <w:jc w:val="both"/>
              <w:rPr>
                <w:rFonts w:ascii="Arial" w:hAnsi="Arial" w:cs="Arial"/>
                <w:b/>
                <w:sz w:val="24"/>
                <w:szCs w:val="24"/>
              </w:rPr>
            </w:pPr>
            <w:r>
              <w:rPr>
                <w:rFonts w:ascii="Arial" w:hAnsi="Arial" w:cs="Arial"/>
                <w:b/>
                <w:sz w:val="24"/>
                <w:szCs w:val="24"/>
              </w:rPr>
              <w:t>29 November 2022</w:t>
            </w:r>
          </w:p>
        </w:tc>
      </w:tr>
      <w:tr w:rsidRPr="004D3483" w:rsidR="00A547F3" w:rsidTr="009B4DBE" w14:paraId="7BE0FB00" w14:textId="77777777">
        <w:trPr>
          <w:trHeight w:val="271"/>
        </w:trPr>
        <w:tc>
          <w:tcPr>
            <w:tcW w:w="2417" w:type="dxa"/>
          </w:tcPr>
          <w:p w:rsidRPr="00826D93" w:rsidR="00A547F3" w:rsidP="00121FD2" w:rsidRDefault="00A547F3" w14:paraId="3031F1A2" w14:textId="77777777">
            <w:pPr>
              <w:pStyle w:val="NoSpacing"/>
              <w:jc w:val="both"/>
              <w:rPr>
                <w:rFonts w:ascii="Arial" w:hAnsi="Arial" w:cs="Arial"/>
                <w:b/>
                <w:sz w:val="24"/>
                <w:szCs w:val="24"/>
              </w:rPr>
            </w:pPr>
            <w:r>
              <w:rPr>
                <w:rFonts w:ascii="Arial" w:hAnsi="Arial" w:cs="Arial"/>
                <w:b/>
                <w:sz w:val="24"/>
                <w:szCs w:val="24"/>
              </w:rPr>
              <w:t>Report of:</w:t>
            </w:r>
          </w:p>
        </w:tc>
        <w:tc>
          <w:tcPr>
            <w:tcW w:w="7081" w:type="dxa"/>
          </w:tcPr>
          <w:p w:rsidRPr="00323E76" w:rsidR="00A547F3" w:rsidP="00121FD2" w:rsidRDefault="00A547F3" w14:paraId="070F9558" w14:textId="77777777">
            <w:pPr>
              <w:pStyle w:val="NoSpacing"/>
              <w:tabs>
                <w:tab w:val="left" w:pos="2700"/>
              </w:tabs>
              <w:jc w:val="both"/>
              <w:rPr>
                <w:rFonts w:ascii="Arial" w:hAnsi="Arial" w:cs="Arial"/>
                <w:b/>
                <w:sz w:val="24"/>
                <w:szCs w:val="24"/>
              </w:rPr>
            </w:pPr>
            <w:r w:rsidRPr="00323E76">
              <w:rPr>
                <w:rFonts w:ascii="Arial" w:hAnsi="Arial" w:cs="Arial"/>
                <w:b/>
                <w:sz w:val="24"/>
                <w:szCs w:val="24"/>
              </w:rPr>
              <w:t>Police and Crime Commissioner</w:t>
            </w:r>
          </w:p>
        </w:tc>
      </w:tr>
      <w:tr w:rsidRPr="004D3483" w:rsidR="00A547F3" w:rsidTr="009B4DBE" w14:paraId="6F71E847" w14:textId="77777777">
        <w:trPr>
          <w:trHeight w:val="271"/>
        </w:trPr>
        <w:tc>
          <w:tcPr>
            <w:tcW w:w="2417" w:type="dxa"/>
          </w:tcPr>
          <w:p w:rsidRPr="00826D93" w:rsidR="00A547F3" w:rsidP="00121FD2" w:rsidRDefault="00A547F3" w14:paraId="010A2B63" w14:textId="77777777">
            <w:pPr>
              <w:pStyle w:val="NoSpacing"/>
              <w:jc w:val="both"/>
              <w:rPr>
                <w:rFonts w:ascii="Arial" w:hAnsi="Arial" w:cs="Arial"/>
                <w:b/>
                <w:sz w:val="24"/>
                <w:szCs w:val="24"/>
              </w:rPr>
            </w:pPr>
            <w:r w:rsidRPr="00826D93">
              <w:rPr>
                <w:rFonts w:ascii="Arial" w:hAnsi="Arial" w:cs="Arial"/>
                <w:b/>
                <w:sz w:val="24"/>
                <w:szCs w:val="24"/>
              </w:rPr>
              <w:t>Report Author:</w:t>
            </w:r>
          </w:p>
        </w:tc>
        <w:tc>
          <w:tcPr>
            <w:tcW w:w="7081" w:type="dxa"/>
          </w:tcPr>
          <w:p w:rsidRPr="00323E76" w:rsidR="00A547F3" w:rsidP="00121FD2" w:rsidRDefault="009411F6" w14:paraId="7E2F1628" w14:textId="77777777">
            <w:pPr>
              <w:pStyle w:val="NoSpacing"/>
              <w:jc w:val="both"/>
              <w:rPr>
                <w:rFonts w:ascii="Arial" w:hAnsi="Arial" w:cs="Arial"/>
                <w:b/>
                <w:sz w:val="24"/>
                <w:szCs w:val="24"/>
              </w:rPr>
            </w:pPr>
            <w:r>
              <w:rPr>
                <w:rFonts w:ascii="Arial" w:hAnsi="Arial" w:cs="Arial"/>
                <w:b/>
                <w:sz w:val="24"/>
                <w:szCs w:val="24"/>
              </w:rPr>
              <w:t>Lisa Gilmour</w:t>
            </w:r>
          </w:p>
        </w:tc>
      </w:tr>
      <w:tr w:rsidRPr="004D3483" w:rsidR="00A547F3" w:rsidTr="009B4DBE" w14:paraId="01CB1707" w14:textId="77777777">
        <w:trPr>
          <w:trHeight w:val="271"/>
        </w:trPr>
        <w:tc>
          <w:tcPr>
            <w:tcW w:w="2417" w:type="dxa"/>
          </w:tcPr>
          <w:p w:rsidRPr="00826D93" w:rsidR="00A547F3" w:rsidP="00121FD2" w:rsidRDefault="00A547F3" w14:paraId="7FE8D8CF" w14:textId="77777777">
            <w:pPr>
              <w:pStyle w:val="NoSpacing"/>
              <w:jc w:val="both"/>
              <w:rPr>
                <w:rFonts w:ascii="Arial" w:hAnsi="Arial" w:cs="Arial"/>
                <w:b/>
                <w:sz w:val="24"/>
                <w:szCs w:val="24"/>
              </w:rPr>
            </w:pPr>
            <w:r w:rsidRPr="00826D93">
              <w:rPr>
                <w:rFonts w:ascii="Arial" w:hAnsi="Arial" w:cs="Arial"/>
                <w:b/>
                <w:sz w:val="24"/>
                <w:szCs w:val="24"/>
              </w:rPr>
              <w:t>E-mail:</w:t>
            </w:r>
          </w:p>
        </w:tc>
        <w:tc>
          <w:tcPr>
            <w:tcW w:w="7081" w:type="dxa"/>
          </w:tcPr>
          <w:p w:rsidRPr="00EE6F72" w:rsidR="00A547F3" w:rsidP="00121FD2" w:rsidRDefault="00EE6F72" w14:paraId="22D2887E" w14:textId="735DCCAF">
            <w:pPr>
              <w:pStyle w:val="NoSpacing"/>
              <w:jc w:val="both"/>
              <w:rPr>
                <w:rFonts w:ascii="Arial" w:hAnsi="Arial" w:cs="Arial"/>
                <w:b/>
                <w:bCs/>
                <w:sz w:val="24"/>
                <w:szCs w:val="24"/>
              </w:rPr>
            </w:pPr>
            <w:r w:rsidRPr="00EE6F72">
              <w:rPr>
                <w:rFonts w:ascii="Arial" w:hAnsi="Arial" w:cs="Arial"/>
                <w:b/>
                <w:bCs/>
                <w:sz w:val="24"/>
                <w:szCs w:val="24"/>
              </w:rPr>
              <w:t>Lisa.Gilmour@Notts.Police.uk</w:t>
            </w:r>
          </w:p>
        </w:tc>
      </w:tr>
      <w:tr w:rsidRPr="004D3483" w:rsidR="00A547F3" w:rsidTr="009B4DBE" w14:paraId="1F4A0A9B" w14:textId="77777777">
        <w:trPr>
          <w:trHeight w:val="286"/>
        </w:trPr>
        <w:tc>
          <w:tcPr>
            <w:tcW w:w="2417" w:type="dxa"/>
          </w:tcPr>
          <w:p w:rsidRPr="00826D93" w:rsidR="00A547F3" w:rsidP="00121FD2" w:rsidRDefault="00A547F3" w14:paraId="673F256F" w14:textId="77777777">
            <w:pPr>
              <w:pStyle w:val="NoSpacing"/>
              <w:jc w:val="both"/>
              <w:rPr>
                <w:rFonts w:ascii="Arial" w:hAnsi="Arial" w:cs="Arial"/>
                <w:b/>
                <w:sz w:val="24"/>
                <w:szCs w:val="24"/>
              </w:rPr>
            </w:pPr>
            <w:r w:rsidRPr="00826D93">
              <w:rPr>
                <w:rFonts w:ascii="Arial" w:hAnsi="Arial" w:cs="Arial"/>
                <w:b/>
                <w:sz w:val="24"/>
                <w:szCs w:val="24"/>
              </w:rPr>
              <w:t>Other Contacts:</w:t>
            </w:r>
          </w:p>
        </w:tc>
        <w:tc>
          <w:tcPr>
            <w:tcW w:w="7081" w:type="dxa"/>
          </w:tcPr>
          <w:p w:rsidRPr="00323E76" w:rsidR="00A547F3" w:rsidP="00121FD2" w:rsidRDefault="00A547F3" w14:paraId="7C8BEE83" w14:textId="77777777">
            <w:pPr>
              <w:pStyle w:val="NoSpacing"/>
              <w:jc w:val="both"/>
              <w:rPr>
                <w:rFonts w:ascii="Arial" w:hAnsi="Arial" w:cs="Arial"/>
                <w:b/>
                <w:sz w:val="24"/>
                <w:szCs w:val="24"/>
              </w:rPr>
            </w:pPr>
          </w:p>
        </w:tc>
      </w:tr>
      <w:tr w:rsidRPr="004D3483" w:rsidR="00A547F3" w:rsidTr="009B4DBE" w14:paraId="1F5690EC" w14:textId="77777777">
        <w:trPr>
          <w:trHeight w:val="286"/>
        </w:trPr>
        <w:tc>
          <w:tcPr>
            <w:tcW w:w="2417" w:type="dxa"/>
          </w:tcPr>
          <w:p w:rsidRPr="00826D93" w:rsidR="00A547F3" w:rsidP="00121FD2" w:rsidRDefault="00A547F3" w14:paraId="7685AF40" w14:textId="77777777">
            <w:pPr>
              <w:pStyle w:val="NoSpacing"/>
              <w:jc w:val="both"/>
              <w:rPr>
                <w:rFonts w:ascii="Arial" w:hAnsi="Arial" w:cs="Arial"/>
                <w:b/>
                <w:sz w:val="24"/>
                <w:szCs w:val="24"/>
              </w:rPr>
            </w:pPr>
            <w:r w:rsidRPr="00826D93">
              <w:rPr>
                <w:rFonts w:ascii="Arial" w:hAnsi="Arial" w:cs="Arial"/>
                <w:b/>
                <w:sz w:val="24"/>
                <w:szCs w:val="24"/>
              </w:rPr>
              <w:t>Agenda Item:</w:t>
            </w:r>
          </w:p>
        </w:tc>
        <w:tc>
          <w:tcPr>
            <w:tcW w:w="7081" w:type="dxa"/>
          </w:tcPr>
          <w:p w:rsidRPr="00323E76" w:rsidR="00A547F3" w:rsidP="00121FD2" w:rsidRDefault="00A547F3" w14:paraId="01A12D61" w14:textId="4A75BDA5">
            <w:pPr>
              <w:pStyle w:val="NoSpacing"/>
              <w:jc w:val="both"/>
              <w:rPr>
                <w:rFonts w:ascii="Arial" w:hAnsi="Arial" w:cs="Arial"/>
                <w:b/>
                <w:sz w:val="24"/>
                <w:szCs w:val="24"/>
              </w:rPr>
            </w:pPr>
          </w:p>
        </w:tc>
      </w:tr>
    </w:tbl>
    <w:p w:rsidRPr="00CC0E8C" w:rsidR="00A547F3" w:rsidP="00262D35" w:rsidRDefault="00A547F3" w14:paraId="5702676E" w14:textId="77777777">
      <w:pPr>
        <w:pStyle w:val="NoSpacing"/>
        <w:jc w:val="both"/>
        <w:rPr>
          <w:rFonts w:ascii="Arial" w:hAnsi="Arial" w:cs="Arial"/>
          <w:b/>
          <w:sz w:val="20"/>
          <w:szCs w:val="20"/>
        </w:rPr>
      </w:pPr>
      <w:r>
        <w:rPr>
          <w:rFonts w:ascii="Arial" w:hAnsi="Arial" w:cs="Arial"/>
          <w:sz w:val="20"/>
          <w:szCs w:val="20"/>
        </w:rPr>
        <w:t>*</w:t>
      </w:r>
      <w:r w:rsidRPr="00CC0E8C">
        <w:rPr>
          <w:rFonts w:ascii="Arial" w:hAnsi="Arial" w:cs="Arial"/>
          <w:sz w:val="20"/>
          <w:szCs w:val="20"/>
        </w:rPr>
        <w:t xml:space="preserve">If </w:t>
      </w:r>
      <w:proofErr w:type="gramStart"/>
      <w:r w:rsidRPr="00CC0E8C">
        <w:rPr>
          <w:rFonts w:ascii="Arial" w:hAnsi="Arial" w:cs="Arial"/>
          <w:sz w:val="20"/>
          <w:szCs w:val="20"/>
        </w:rPr>
        <w:t>Non Public</w:t>
      </w:r>
      <w:proofErr w:type="gramEnd"/>
      <w:r w:rsidRPr="00CC0E8C">
        <w:rPr>
          <w:rFonts w:ascii="Arial" w:hAnsi="Arial" w:cs="Arial"/>
          <w:sz w:val="20"/>
          <w:szCs w:val="20"/>
        </w:rPr>
        <w:t>, please state under which category number from the guidance</w:t>
      </w:r>
      <w:r>
        <w:rPr>
          <w:rFonts w:ascii="Arial" w:hAnsi="Arial" w:cs="Arial"/>
          <w:sz w:val="20"/>
          <w:szCs w:val="20"/>
        </w:rPr>
        <w:t xml:space="preserve"> in the space provided.</w:t>
      </w:r>
    </w:p>
    <w:p w:rsidR="00C25020" w:rsidP="007B7C9D" w:rsidRDefault="00C25020" w14:paraId="0F3DFFBF" w14:textId="77777777">
      <w:pPr>
        <w:pStyle w:val="NoSpacing"/>
        <w:jc w:val="both"/>
        <w:outlineLvl w:val="0"/>
        <w:rPr>
          <w:rFonts w:ascii="Arial" w:hAnsi="Arial" w:cs="Arial"/>
          <w:b/>
          <w:sz w:val="28"/>
          <w:szCs w:val="28"/>
        </w:rPr>
      </w:pPr>
    </w:p>
    <w:p w:rsidRPr="00CF1A43" w:rsidR="00A547F3" w:rsidP="007B7C9D" w:rsidRDefault="00A547F3" w14:paraId="404F4F62" w14:textId="0E02748D">
      <w:pPr>
        <w:pStyle w:val="NoSpacing"/>
        <w:jc w:val="both"/>
        <w:outlineLvl w:val="0"/>
        <w:rPr>
          <w:rFonts w:ascii="Arial" w:hAnsi="Arial" w:cs="Arial"/>
          <w:b/>
          <w:sz w:val="28"/>
          <w:szCs w:val="28"/>
        </w:rPr>
      </w:pPr>
      <w:r>
        <w:rPr>
          <w:rFonts w:ascii="Arial" w:hAnsi="Arial" w:cs="Arial"/>
          <w:b/>
          <w:sz w:val="28"/>
          <w:szCs w:val="28"/>
        </w:rPr>
        <w:t xml:space="preserve">COMPLAINTS </w:t>
      </w:r>
      <w:r w:rsidR="00811F4E">
        <w:rPr>
          <w:rFonts w:ascii="Arial" w:hAnsi="Arial" w:cs="Arial"/>
          <w:b/>
          <w:sz w:val="28"/>
          <w:szCs w:val="28"/>
        </w:rPr>
        <w:t xml:space="preserve">&amp; REVIEWS </w:t>
      </w:r>
      <w:r>
        <w:rPr>
          <w:rFonts w:ascii="Arial" w:hAnsi="Arial" w:cs="Arial"/>
          <w:b/>
          <w:sz w:val="28"/>
          <w:szCs w:val="28"/>
        </w:rPr>
        <w:t>ASSURANCE REPORT</w:t>
      </w:r>
    </w:p>
    <w:p w:rsidRPr="0069013F" w:rsidR="00C25020" w:rsidP="007B7C9D" w:rsidRDefault="00C25020" w14:paraId="735A39D8"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26E6987A" w14:textId="77777777">
        <w:tc>
          <w:tcPr>
            <w:tcW w:w="9242" w:type="dxa"/>
          </w:tcPr>
          <w:p w:rsidRPr="00826D93" w:rsidR="00A547F3" w:rsidP="007B7C9D" w:rsidRDefault="00A547F3" w14:paraId="07AD857C"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Purpose of the Report</w:t>
            </w:r>
          </w:p>
        </w:tc>
      </w:tr>
    </w:tbl>
    <w:p w:rsidRPr="0069013F" w:rsidR="00A547F3" w:rsidP="007B7C9D" w:rsidRDefault="00A547F3" w14:paraId="77743D29" w14:textId="77777777">
      <w:pPr>
        <w:pStyle w:val="NoSpacing"/>
        <w:jc w:val="both"/>
        <w:rPr>
          <w:rFonts w:ascii="Arial" w:hAnsi="Arial" w:cs="Arial"/>
          <w:sz w:val="24"/>
          <w:szCs w:val="24"/>
        </w:rPr>
      </w:pPr>
    </w:p>
    <w:p w:rsidRPr="00EE6F72" w:rsidR="00A547F3" w:rsidP="00F00E2D" w:rsidRDefault="00F00E2D" w14:paraId="415B3A9E" w14:textId="6CD54E59">
      <w:pPr>
        <w:pStyle w:val="NoSpacing"/>
        <w:numPr>
          <w:ilvl w:val="1"/>
          <w:numId w:val="7"/>
        </w:numPr>
        <w:ind w:left="709" w:hanging="709"/>
        <w:jc w:val="both"/>
        <w:rPr>
          <w:rFonts w:ascii="Arial" w:hAnsi="Arial" w:cs="Arial"/>
          <w:sz w:val="24"/>
          <w:szCs w:val="24"/>
        </w:rPr>
      </w:pPr>
      <w:r w:rsidRPr="00F00E2D">
        <w:rPr>
          <w:rFonts w:ascii="Arial" w:hAnsi="Arial" w:cs="Arial"/>
          <w:sz w:val="24"/>
          <w:szCs w:val="24"/>
        </w:rPr>
        <w:t>To provide the Joint Audit and Scrutiny Panel (JASP)</w:t>
      </w:r>
      <w:r>
        <w:rPr>
          <w:rFonts w:ascii="Arial" w:hAnsi="Arial" w:cs="Arial"/>
          <w:sz w:val="24"/>
          <w:szCs w:val="24"/>
        </w:rPr>
        <w:t xml:space="preserve"> </w:t>
      </w:r>
      <w:r w:rsidRPr="00F00E2D" w:rsidR="00A547F3">
        <w:rPr>
          <w:rFonts w:ascii="Arial" w:hAnsi="Arial" w:cs="Arial"/>
          <w:sz w:val="24"/>
          <w:szCs w:val="24"/>
        </w:rPr>
        <w:t xml:space="preserve">with </w:t>
      </w:r>
      <w:r w:rsidRPr="00F00E2D" w:rsidR="00A547F3">
        <w:rPr>
          <w:rFonts w:ascii="Arial" w:hAnsi="Arial" w:cs="Arial"/>
          <w:sz w:val="24"/>
          <w:szCs w:val="24"/>
          <w:lang w:val="en-US"/>
        </w:rPr>
        <w:t xml:space="preserve">assurance that Nottinghamshire Police Complaints are being managed in accordance with </w:t>
      </w:r>
      <w:r w:rsidRPr="00F00E2D" w:rsidR="00811F4E">
        <w:rPr>
          <w:rFonts w:ascii="Arial" w:hAnsi="Arial" w:cs="Arial"/>
          <w:sz w:val="24"/>
          <w:szCs w:val="24"/>
          <w:lang w:val="en-US"/>
        </w:rPr>
        <w:t xml:space="preserve">Legislation and </w:t>
      </w:r>
      <w:r w:rsidR="00961004">
        <w:rPr>
          <w:rFonts w:ascii="Arial" w:hAnsi="Arial" w:cs="Arial"/>
          <w:sz w:val="24"/>
          <w:szCs w:val="24"/>
          <w:lang w:val="en-US"/>
        </w:rPr>
        <w:t xml:space="preserve">National </w:t>
      </w:r>
      <w:r w:rsidRPr="00F00E2D" w:rsidR="00A547F3">
        <w:rPr>
          <w:rFonts w:ascii="Arial" w:hAnsi="Arial" w:cs="Arial"/>
          <w:sz w:val="24"/>
          <w:szCs w:val="24"/>
          <w:lang w:val="en-US"/>
        </w:rPr>
        <w:t xml:space="preserve">Statutory Guidance.  </w:t>
      </w:r>
    </w:p>
    <w:p w:rsidRPr="00EE6F72" w:rsidR="00EE6F72" w:rsidP="00EE6F72" w:rsidRDefault="00EE6F72" w14:paraId="1639E782" w14:textId="77777777">
      <w:pPr>
        <w:pStyle w:val="NoSpacing"/>
        <w:ind w:left="709"/>
        <w:jc w:val="both"/>
        <w:rPr>
          <w:rFonts w:ascii="Arial" w:hAnsi="Arial" w:cs="Arial"/>
          <w:sz w:val="24"/>
          <w:szCs w:val="24"/>
        </w:rPr>
      </w:pPr>
    </w:p>
    <w:p w:rsidRPr="00F00E2D" w:rsidR="00EE6F72" w:rsidP="00F00E2D" w:rsidRDefault="00EE6F72" w14:paraId="1C17AE8D" w14:textId="430B0BE5">
      <w:pPr>
        <w:pStyle w:val="NoSpacing"/>
        <w:numPr>
          <w:ilvl w:val="1"/>
          <w:numId w:val="7"/>
        </w:numPr>
        <w:ind w:left="709" w:hanging="709"/>
        <w:jc w:val="both"/>
        <w:rPr>
          <w:rFonts w:ascii="Arial" w:hAnsi="Arial" w:cs="Arial"/>
          <w:sz w:val="24"/>
          <w:szCs w:val="24"/>
        </w:rPr>
      </w:pPr>
      <w:r>
        <w:rPr>
          <w:rFonts w:ascii="Arial" w:hAnsi="Arial" w:cs="Arial"/>
          <w:sz w:val="24"/>
          <w:szCs w:val="24"/>
          <w:lang w:val="en-US"/>
        </w:rPr>
        <w:t>To provide an overview of Complaint Reviews completed by the Office of the Police and Crime Commissioner</w:t>
      </w:r>
      <w:r w:rsidR="007230CB">
        <w:rPr>
          <w:rFonts w:ascii="Arial" w:hAnsi="Arial" w:cs="Arial"/>
          <w:sz w:val="24"/>
          <w:szCs w:val="24"/>
          <w:lang w:val="en-US"/>
        </w:rPr>
        <w:t xml:space="preserve"> for Nottinghamshire</w:t>
      </w:r>
      <w:r>
        <w:rPr>
          <w:rFonts w:ascii="Arial" w:hAnsi="Arial" w:cs="Arial"/>
          <w:sz w:val="24"/>
          <w:szCs w:val="24"/>
          <w:lang w:val="en-US"/>
        </w:rPr>
        <w:t>.</w:t>
      </w:r>
    </w:p>
    <w:p w:rsidRPr="0069013F" w:rsidR="00C13B77" w:rsidP="001663BE" w:rsidRDefault="00C13B77" w14:paraId="11593F43"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590081D8" w14:textId="77777777">
        <w:tc>
          <w:tcPr>
            <w:tcW w:w="9242" w:type="dxa"/>
          </w:tcPr>
          <w:p w:rsidRPr="00826D93" w:rsidR="00A547F3" w:rsidP="007B7C9D" w:rsidRDefault="00A547F3" w14:paraId="27DCB460"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Recommendations</w:t>
            </w:r>
          </w:p>
        </w:tc>
      </w:tr>
    </w:tbl>
    <w:p w:rsidR="00066A26" w:rsidP="00066A26" w:rsidRDefault="00066A26" w14:paraId="03821370" w14:textId="77777777">
      <w:pPr>
        <w:pStyle w:val="NoSpacing"/>
        <w:jc w:val="both"/>
        <w:rPr>
          <w:rFonts w:ascii="Arial" w:hAnsi="Arial" w:cs="Arial"/>
          <w:sz w:val="24"/>
          <w:szCs w:val="24"/>
        </w:rPr>
      </w:pPr>
    </w:p>
    <w:p w:rsidR="00066A26" w:rsidP="00C80BF4" w:rsidRDefault="00E916C4" w14:paraId="30306C9B" w14:textId="78867C20">
      <w:pPr>
        <w:pStyle w:val="NoSpacing"/>
        <w:ind w:left="709" w:hanging="709"/>
        <w:jc w:val="both"/>
        <w:rPr>
          <w:rFonts w:ascii="Arial" w:hAnsi="Arial" w:cs="Arial"/>
          <w:sz w:val="24"/>
          <w:szCs w:val="24"/>
        </w:rPr>
      </w:pPr>
      <w:r>
        <w:rPr>
          <w:rFonts w:ascii="Arial" w:hAnsi="Arial" w:cs="Arial"/>
          <w:sz w:val="24"/>
          <w:szCs w:val="24"/>
        </w:rPr>
        <w:t>2.1</w:t>
      </w:r>
      <w:r>
        <w:rPr>
          <w:rFonts w:ascii="Arial" w:hAnsi="Arial" w:cs="Arial"/>
          <w:sz w:val="24"/>
          <w:szCs w:val="24"/>
        </w:rPr>
        <w:tab/>
      </w:r>
      <w:r w:rsidR="00EC65F7">
        <w:rPr>
          <w:rFonts w:ascii="Arial" w:hAnsi="Arial" w:cs="Arial"/>
          <w:sz w:val="24"/>
          <w:szCs w:val="24"/>
        </w:rPr>
        <w:t xml:space="preserve">Note the learning identified and agree </w:t>
      </w:r>
      <w:r w:rsidR="00CB0898">
        <w:rPr>
          <w:rFonts w:ascii="Arial" w:hAnsi="Arial" w:cs="Arial"/>
          <w:sz w:val="24"/>
          <w:szCs w:val="24"/>
        </w:rPr>
        <w:t>for PSD (Professional Standards Directorate) to provide a</w:t>
      </w:r>
      <w:r w:rsidR="00EC65F7">
        <w:rPr>
          <w:rFonts w:ascii="Arial" w:hAnsi="Arial" w:cs="Arial"/>
          <w:sz w:val="24"/>
          <w:szCs w:val="24"/>
        </w:rPr>
        <w:t xml:space="preserve"> response to this report</w:t>
      </w:r>
      <w:r w:rsidR="00016125">
        <w:rPr>
          <w:rFonts w:ascii="Arial" w:hAnsi="Arial" w:cs="Arial"/>
          <w:sz w:val="24"/>
          <w:szCs w:val="24"/>
        </w:rPr>
        <w:t>’s findings</w:t>
      </w:r>
      <w:r w:rsidR="00EC65F7">
        <w:rPr>
          <w:rFonts w:ascii="Arial" w:hAnsi="Arial" w:cs="Arial"/>
          <w:sz w:val="24"/>
          <w:szCs w:val="24"/>
        </w:rPr>
        <w:t xml:space="preserve">.  </w:t>
      </w:r>
      <w:r w:rsidR="00F47014">
        <w:rPr>
          <w:rFonts w:ascii="Arial" w:hAnsi="Arial" w:cs="Arial"/>
          <w:sz w:val="24"/>
          <w:szCs w:val="24"/>
        </w:rPr>
        <w:t xml:space="preserve"> </w:t>
      </w:r>
    </w:p>
    <w:p w:rsidR="00E916C4" w:rsidP="00066A26" w:rsidRDefault="00E916C4" w14:paraId="4CC343A2"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2E7F" w14:paraId="67C574F8" w14:textId="77777777">
        <w:tc>
          <w:tcPr>
            <w:tcW w:w="9016" w:type="dxa"/>
          </w:tcPr>
          <w:p w:rsidRPr="00826D93" w:rsidR="00A547F3" w:rsidP="007B7C9D" w:rsidRDefault="00A547F3" w14:paraId="7A068912"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Reasons for Recommendations</w:t>
            </w:r>
          </w:p>
        </w:tc>
      </w:tr>
    </w:tbl>
    <w:p w:rsidR="00B10960" w:rsidP="00B10960" w:rsidRDefault="00B10960" w14:paraId="1D252AA2" w14:textId="77777777">
      <w:pPr>
        <w:pStyle w:val="NoSpacing"/>
        <w:jc w:val="both"/>
        <w:rPr>
          <w:rFonts w:ascii="Arial" w:hAnsi="Arial" w:cs="Arial"/>
          <w:sz w:val="24"/>
          <w:szCs w:val="24"/>
        </w:rPr>
      </w:pPr>
    </w:p>
    <w:p w:rsidRPr="00607880" w:rsidR="00B10960" w:rsidP="00B10960" w:rsidRDefault="00B10960" w14:paraId="35E148D7" w14:textId="2D3B3371">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The </w:t>
      </w:r>
      <w:r w:rsidR="007230CB">
        <w:rPr>
          <w:rFonts w:ascii="Arial" w:hAnsi="Arial" w:cs="Arial"/>
          <w:sz w:val="24"/>
          <w:szCs w:val="24"/>
        </w:rPr>
        <w:t xml:space="preserve">Police and Crime </w:t>
      </w:r>
      <w:r w:rsidRPr="00B2530E">
        <w:rPr>
          <w:rFonts w:ascii="Arial" w:hAnsi="Arial" w:cs="Arial"/>
          <w:sz w:val="24"/>
          <w:szCs w:val="24"/>
        </w:rPr>
        <w:t>Commissioner</w:t>
      </w:r>
      <w:r w:rsidR="007230CB">
        <w:rPr>
          <w:rFonts w:ascii="Arial" w:hAnsi="Arial" w:cs="Arial"/>
          <w:sz w:val="24"/>
          <w:szCs w:val="24"/>
        </w:rPr>
        <w:t xml:space="preserve"> (</w:t>
      </w:r>
      <w:r w:rsidR="00961004">
        <w:rPr>
          <w:rFonts w:ascii="Arial" w:hAnsi="Arial" w:cs="Arial"/>
          <w:sz w:val="24"/>
          <w:szCs w:val="24"/>
        </w:rPr>
        <w:t xml:space="preserve">PCC) </w:t>
      </w:r>
      <w:r w:rsidRPr="00B2530E" w:rsidR="00961004">
        <w:rPr>
          <w:rFonts w:ascii="Arial" w:hAnsi="Arial" w:cs="Arial"/>
          <w:sz w:val="24"/>
          <w:szCs w:val="24"/>
        </w:rPr>
        <w:t>has</w:t>
      </w:r>
      <w:r>
        <w:rPr>
          <w:rFonts w:ascii="Arial" w:hAnsi="Arial" w:cs="Arial"/>
          <w:sz w:val="24"/>
          <w:szCs w:val="24"/>
        </w:rPr>
        <w:t xml:space="preserve"> a</w:t>
      </w:r>
      <w:r w:rsidR="00607880">
        <w:rPr>
          <w:rFonts w:ascii="Arial" w:hAnsi="Arial" w:cs="Arial"/>
          <w:sz w:val="24"/>
          <w:szCs w:val="24"/>
        </w:rPr>
        <w:t>n oversight</w:t>
      </w:r>
      <w:r>
        <w:rPr>
          <w:rFonts w:ascii="Arial" w:hAnsi="Arial" w:cs="Arial"/>
          <w:sz w:val="24"/>
          <w:szCs w:val="24"/>
        </w:rPr>
        <w:t xml:space="preserve"> responsibility to ensure </w:t>
      </w:r>
      <w:r w:rsidR="007230CB">
        <w:rPr>
          <w:rFonts w:ascii="Arial" w:hAnsi="Arial" w:cs="Arial"/>
          <w:sz w:val="24"/>
          <w:szCs w:val="24"/>
        </w:rPr>
        <w:t xml:space="preserve">that complaints handled by </w:t>
      </w:r>
      <w:r w:rsidRPr="00B10960">
        <w:rPr>
          <w:rFonts w:ascii="Arial" w:hAnsi="Arial" w:cs="Arial"/>
          <w:sz w:val="24"/>
          <w:szCs w:val="24"/>
          <w:lang w:val="en-US"/>
        </w:rPr>
        <w:t xml:space="preserve">Nottinghamshire Police are managed </w:t>
      </w:r>
      <w:r w:rsidR="00607880">
        <w:rPr>
          <w:rFonts w:ascii="Arial" w:hAnsi="Arial" w:cs="Arial"/>
          <w:sz w:val="24"/>
          <w:szCs w:val="24"/>
          <w:lang w:val="en-US"/>
        </w:rPr>
        <w:t>in accordance with:</w:t>
      </w:r>
    </w:p>
    <w:p w:rsidR="000050A6" w:rsidP="00607880" w:rsidRDefault="000050A6" w14:paraId="1D9CFF6F" w14:textId="77777777">
      <w:pPr>
        <w:pStyle w:val="NormalWeb"/>
        <w:numPr>
          <w:ilvl w:val="0"/>
          <w:numId w:val="16"/>
        </w:numPr>
        <w:ind w:left="993" w:hanging="284"/>
        <w:jc w:val="both"/>
        <w:rPr>
          <w:rFonts w:ascii="Arial" w:hAnsi="Arial" w:cs="Arial"/>
        </w:rPr>
      </w:pPr>
      <w:r>
        <w:rPr>
          <w:rFonts w:ascii="Arial" w:hAnsi="Arial" w:cs="Arial"/>
        </w:rPr>
        <w:t>Police Reform Act 2002</w:t>
      </w:r>
    </w:p>
    <w:p w:rsidR="000050A6" w:rsidP="00607880" w:rsidRDefault="000050A6" w14:paraId="52CE38DA" w14:textId="77777777">
      <w:pPr>
        <w:pStyle w:val="NormalWeb"/>
        <w:numPr>
          <w:ilvl w:val="0"/>
          <w:numId w:val="16"/>
        </w:numPr>
        <w:ind w:left="993" w:hanging="284"/>
        <w:jc w:val="both"/>
        <w:rPr>
          <w:rFonts w:ascii="Arial" w:hAnsi="Arial" w:cs="Arial"/>
        </w:rPr>
      </w:pPr>
      <w:r>
        <w:rPr>
          <w:rFonts w:ascii="Arial" w:hAnsi="Arial" w:cs="Arial"/>
        </w:rPr>
        <w:t>Policing and Crime Act 2017</w:t>
      </w:r>
    </w:p>
    <w:p w:rsidR="00607880" w:rsidP="00607880" w:rsidRDefault="00607880" w14:paraId="03D20292" w14:textId="07206A1D">
      <w:pPr>
        <w:pStyle w:val="NormalWeb"/>
        <w:numPr>
          <w:ilvl w:val="0"/>
          <w:numId w:val="16"/>
        </w:numPr>
        <w:ind w:left="993" w:hanging="284"/>
        <w:jc w:val="both"/>
        <w:rPr>
          <w:rFonts w:ascii="Arial" w:hAnsi="Arial" w:cs="Arial"/>
        </w:rPr>
      </w:pPr>
      <w:r>
        <w:rPr>
          <w:rFonts w:ascii="Arial" w:hAnsi="Arial" w:cs="Arial"/>
        </w:rPr>
        <w:t xml:space="preserve">Police </w:t>
      </w:r>
      <w:r w:rsidR="000050A6">
        <w:rPr>
          <w:rFonts w:ascii="Arial" w:hAnsi="Arial" w:cs="Arial"/>
        </w:rPr>
        <w:t>(</w:t>
      </w:r>
      <w:r>
        <w:rPr>
          <w:rFonts w:ascii="Arial" w:hAnsi="Arial" w:cs="Arial"/>
        </w:rPr>
        <w:t>Complaint</w:t>
      </w:r>
      <w:r w:rsidR="000050A6">
        <w:rPr>
          <w:rFonts w:ascii="Arial" w:hAnsi="Arial" w:cs="Arial"/>
        </w:rPr>
        <w:t>s</w:t>
      </w:r>
      <w:r>
        <w:rPr>
          <w:rFonts w:ascii="Arial" w:hAnsi="Arial" w:cs="Arial"/>
        </w:rPr>
        <w:t xml:space="preserve"> and Misconduct</w:t>
      </w:r>
      <w:r w:rsidR="000050A6">
        <w:rPr>
          <w:rFonts w:ascii="Arial" w:hAnsi="Arial" w:cs="Arial"/>
        </w:rPr>
        <w:t>)</w:t>
      </w:r>
      <w:r>
        <w:rPr>
          <w:rFonts w:ascii="Arial" w:hAnsi="Arial" w:cs="Arial"/>
        </w:rPr>
        <w:t xml:space="preserve"> Regulations 2020</w:t>
      </w:r>
    </w:p>
    <w:p w:rsidR="00607880" w:rsidP="00607880" w:rsidRDefault="00607880" w14:paraId="2AB95B1B" w14:textId="77777777">
      <w:pPr>
        <w:pStyle w:val="NormalWeb"/>
        <w:numPr>
          <w:ilvl w:val="0"/>
          <w:numId w:val="16"/>
        </w:numPr>
        <w:ind w:left="993" w:hanging="284"/>
        <w:jc w:val="both"/>
        <w:rPr>
          <w:rFonts w:ascii="Arial" w:hAnsi="Arial" w:cs="Arial"/>
        </w:rPr>
      </w:pPr>
      <w:r>
        <w:rPr>
          <w:rFonts w:ascii="Arial" w:hAnsi="Arial" w:cs="Arial"/>
        </w:rPr>
        <w:t>Independent Office for Police Conduct (IOPC) Statutory Guidance 2020</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2E7F" w14:paraId="36FC2426" w14:textId="77777777">
        <w:tc>
          <w:tcPr>
            <w:tcW w:w="9016" w:type="dxa"/>
          </w:tcPr>
          <w:p w:rsidRPr="00826D93" w:rsidR="00A547F3" w:rsidP="00B10960" w:rsidRDefault="00BD0A4C" w14:paraId="23E8D9E6"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S</w:t>
            </w:r>
            <w:r w:rsidRPr="00826D93" w:rsidR="00A547F3">
              <w:rPr>
                <w:rFonts w:ascii="Arial" w:hAnsi="Arial" w:cs="Arial"/>
                <w:b/>
                <w:sz w:val="24"/>
                <w:szCs w:val="24"/>
              </w:rPr>
              <w:t>ummary of Key Points</w:t>
            </w:r>
          </w:p>
        </w:tc>
      </w:tr>
    </w:tbl>
    <w:p w:rsidRPr="0069013F" w:rsidR="00A547F3" w:rsidP="007B7C9D" w:rsidRDefault="00A547F3" w14:paraId="0203863F" w14:textId="77777777">
      <w:pPr>
        <w:pStyle w:val="NoSpacing"/>
        <w:jc w:val="both"/>
        <w:rPr>
          <w:rFonts w:ascii="Arial" w:hAnsi="Arial" w:cs="Arial"/>
          <w:sz w:val="24"/>
          <w:szCs w:val="24"/>
        </w:rPr>
      </w:pPr>
    </w:p>
    <w:p w:rsidR="00423757" w:rsidP="009C6303" w:rsidRDefault="00423757" w14:paraId="5C41DA74" w14:textId="31B84175">
      <w:pPr>
        <w:pStyle w:val="NoSpacing"/>
        <w:ind w:firstLine="567"/>
        <w:jc w:val="both"/>
        <w:rPr>
          <w:rFonts w:ascii="Arial" w:hAnsi="Arial" w:cs="Arial"/>
          <w:b/>
          <w:sz w:val="24"/>
          <w:szCs w:val="24"/>
        </w:rPr>
      </w:pPr>
      <w:r w:rsidRPr="00423757">
        <w:rPr>
          <w:rFonts w:ascii="Arial" w:hAnsi="Arial" w:cs="Arial"/>
          <w:b/>
          <w:sz w:val="24"/>
          <w:szCs w:val="24"/>
        </w:rPr>
        <w:t xml:space="preserve">What is </w:t>
      </w:r>
      <w:r w:rsidR="00811F4E">
        <w:rPr>
          <w:rFonts w:ascii="Arial" w:hAnsi="Arial" w:cs="Arial"/>
          <w:b/>
          <w:sz w:val="24"/>
          <w:szCs w:val="24"/>
        </w:rPr>
        <w:t xml:space="preserve">a </w:t>
      </w:r>
      <w:r w:rsidR="00C25020">
        <w:rPr>
          <w:rFonts w:ascii="Arial" w:hAnsi="Arial" w:cs="Arial"/>
          <w:b/>
          <w:sz w:val="24"/>
          <w:szCs w:val="24"/>
        </w:rPr>
        <w:t>complaint?</w:t>
      </w:r>
      <w:r w:rsidR="000050A6">
        <w:rPr>
          <w:rFonts w:ascii="Arial" w:hAnsi="Arial" w:cs="Arial"/>
          <w:b/>
          <w:sz w:val="24"/>
          <w:szCs w:val="24"/>
        </w:rPr>
        <w:t xml:space="preserve"> </w:t>
      </w:r>
    </w:p>
    <w:p w:rsidR="009C6303" w:rsidP="009C6303" w:rsidRDefault="009C6303" w14:paraId="0FF2F9F9" w14:textId="77777777">
      <w:pPr>
        <w:pStyle w:val="NoSpacing"/>
        <w:ind w:firstLine="720"/>
        <w:jc w:val="both"/>
        <w:rPr>
          <w:rFonts w:ascii="Arial" w:hAnsi="Arial" w:cs="Arial"/>
          <w:b/>
          <w:sz w:val="24"/>
          <w:szCs w:val="24"/>
        </w:rPr>
      </w:pPr>
    </w:p>
    <w:p w:rsidR="00EE6F72" w:rsidP="009C6303" w:rsidRDefault="00811F4E" w14:paraId="48A26094" w14:textId="177FD79C">
      <w:pPr>
        <w:pStyle w:val="NoSpacing"/>
        <w:numPr>
          <w:ilvl w:val="1"/>
          <w:numId w:val="7"/>
        </w:numPr>
        <w:ind w:left="709" w:hanging="709"/>
        <w:jc w:val="both"/>
        <w:rPr>
          <w:rFonts w:ascii="Arial" w:hAnsi="Arial" w:cs="Arial"/>
          <w:sz w:val="24"/>
          <w:szCs w:val="24"/>
        </w:rPr>
      </w:pPr>
      <w:r w:rsidRPr="000050A6">
        <w:rPr>
          <w:rFonts w:ascii="Arial" w:hAnsi="Arial" w:cs="Arial"/>
          <w:sz w:val="24"/>
          <w:szCs w:val="24"/>
        </w:rPr>
        <w:t>A complaint is any expression of dissatisfaction with a police force that is expressed by or on behalf of a member of the public.</w:t>
      </w:r>
      <w:r w:rsidRPr="000050A6" w:rsidR="000050A6">
        <w:rPr>
          <w:rFonts w:ascii="Arial" w:hAnsi="Arial" w:cs="Arial"/>
          <w:sz w:val="24"/>
          <w:szCs w:val="24"/>
        </w:rPr>
        <w:t xml:space="preserve">  It must be made by a person who meets the definition of a complainant. There must also be some intention from the complainant to bring their dissatisfaction to the attention of the force or local policing body. A complaint does not have to be made in writing, nor must it explicitly state that it is a complaint for it to be considered as one. </w:t>
      </w:r>
    </w:p>
    <w:p w:rsidR="006F1E34" w:rsidP="006F1E34" w:rsidRDefault="006F1E34" w14:paraId="34A66940" w14:textId="77777777">
      <w:pPr>
        <w:pStyle w:val="NoSpacing"/>
        <w:jc w:val="both"/>
        <w:rPr>
          <w:rFonts w:ascii="Arial" w:hAnsi="Arial" w:cs="Arial"/>
          <w:sz w:val="24"/>
          <w:szCs w:val="24"/>
        </w:rPr>
      </w:pPr>
    </w:p>
    <w:p w:rsidR="00CB0898" w:rsidP="009C6303" w:rsidRDefault="00CB0898" w14:paraId="04BD6832" w14:textId="77777777">
      <w:pPr>
        <w:pStyle w:val="NoSpacing"/>
        <w:ind w:left="709"/>
        <w:jc w:val="both"/>
        <w:rPr>
          <w:rFonts w:ascii="Arial" w:hAnsi="Arial" w:cs="Arial"/>
          <w:b/>
          <w:sz w:val="24"/>
          <w:szCs w:val="24"/>
        </w:rPr>
      </w:pPr>
    </w:p>
    <w:p w:rsidR="00F00E2D" w:rsidP="002D0DD2" w:rsidRDefault="00F00E2D" w14:paraId="7871C6B1" w14:textId="77777777">
      <w:pPr>
        <w:pStyle w:val="NoSpacing"/>
        <w:ind w:left="709"/>
        <w:jc w:val="both"/>
        <w:rPr>
          <w:rFonts w:ascii="Arial" w:hAnsi="Arial"/>
          <w:sz w:val="24"/>
        </w:rPr>
      </w:pPr>
    </w:p>
    <w:p w:rsidR="00F00E2D" w:rsidP="009C6303" w:rsidRDefault="00F00E2D" w14:paraId="3FE06478" w14:textId="4789255C">
      <w:pPr>
        <w:pStyle w:val="NoSpacing"/>
        <w:ind w:left="709"/>
        <w:jc w:val="both"/>
        <w:rPr>
          <w:rFonts w:ascii="Arial" w:hAnsi="Arial" w:cs="Arial"/>
          <w:b/>
          <w:sz w:val="24"/>
          <w:szCs w:val="24"/>
        </w:rPr>
      </w:pPr>
      <w:r>
        <w:rPr>
          <w:rFonts w:ascii="Arial" w:hAnsi="Arial" w:cs="Arial"/>
          <w:b/>
          <w:sz w:val="24"/>
          <w:szCs w:val="24"/>
        </w:rPr>
        <w:t xml:space="preserve">Complaints </w:t>
      </w:r>
      <w:r w:rsidR="00C00C7B">
        <w:rPr>
          <w:rFonts w:ascii="Arial" w:hAnsi="Arial" w:cs="Arial"/>
          <w:b/>
          <w:sz w:val="24"/>
          <w:szCs w:val="24"/>
        </w:rPr>
        <w:t>H</w:t>
      </w:r>
      <w:r>
        <w:rPr>
          <w:rFonts w:ascii="Arial" w:hAnsi="Arial" w:cs="Arial"/>
          <w:b/>
          <w:sz w:val="24"/>
          <w:szCs w:val="24"/>
        </w:rPr>
        <w:t>and</w:t>
      </w:r>
      <w:r w:rsidR="009C6303">
        <w:rPr>
          <w:rFonts w:ascii="Arial" w:hAnsi="Arial" w:cs="Arial"/>
          <w:b/>
          <w:sz w:val="24"/>
          <w:szCs w:val="24"/>
        </w:rPr>
        <w:t>ling</w:t>
      </w:r>
    </w:p>
    <w:p w:rsidR="00F00E2D" w:rsidP="00F00E2D" w:rsidRDefault="00F00E2D" w14:paraId="1E7B264A" w14:textId="77777777">
      <w:pPr>
        <w:pStyle w:val="NoSpacing"/>
        <w:ind w:left="709"/>
        <w:jc w:val="both"/>
        <w:rPr>
          <w:rFonts w:ascii="Arial" w:hAnsi="Arial" w:cs="Arial"/>
          <w:b/>
          <w:sz w:val="24"/>
          <w:szCs w:val="24"/>
        </w:rPr>
      </w:pPr>
    </w:p>
    <w:p w:rsidR="00F00E2D" w:rsidP="009C6303" w:rsidRDefault="00F00E2D" w14:paraId="75789E6D" w14:textId="584E1E48">
      <w:pPr>
        <w:pStyle w:val="NoSpacing"/>
        <w:numPr>
          <w:ilvl w:val="1"/>
          <w:numId w:val="7"/>
        </w:numPr>
        <w:ind w:left="709" w:hanging="709"/>
        <w:jc w:val="both"/>
        <w:rPr>
          <w:rFonts w:ascii="Arial" w:hAnsi="Arial" w:cs="Arial"/>
          <w:sz w:val="24"/>
          <w:szCs w:val="24"/>
        </w:rPr>
      </w:pPr>
      <w:r>
        <w:rPr>
          <w:rFonts w:ascii="Arial" w:hAnsi="Arial" w:cs="Arial"/>
          <w:sz w:val="24"/>
          <w:szCs w:val="24"/>
        </w:rPr>
        <w:t>Complaints handled</w:t>
      </w:r>
      <w:r w:rsidRPr="002D0BA9">
        <w:rPr>
          <w:rFonts w:ascii="Arial" w:hAnsi="Arial" w:cs="Arial"/>
          <w:sz w:val="24"/>
          <w:szCs w:val="24"/>
        </w:rPr>
        <w:t xml:space="preserve"> otherwise than by investigation are lower</w:t>
      </w:r>
      <w:r w:rsidR="009C6303">
        <w:rPr>
          <w:rFonts w:ascii="Arial" w:hAnsi="Arial" w:cs="Arial"/>
          <w:sz w:val="24"/>
          <w:szCs w:val="24"/>
        </w:rPr>
        <w:t>-</w:t>
      </w:r>
      <w:r w:rsidRPr="002D0BA9">
        <w:rPr>
          <w:rFonts w:ascii="Arial" w:hAnsi="Arial" w:cs="Arial"/>
          <w:sz w:val="24"/>
          <w:szCs w:val="24"/>
        </w:rPr>
        <w:t xml:space="preserve">level complaints where it is likely that, if proven, the allegation would not result in further proceedings.  </w:t>
      </w:r>
    </w:p>
    <w:p w:rsidR="00F00E2D" w:rsidP="009C6303" w:rsidRDefault="00F00E2D" w14:paraId="2F62A89F" w14:textId="77777777">
      <w:pPr>
        <w:pStyle w:val="NoSpacing"/>
        <w:ind w:left="709" w:hanging="709"/>
        <w:jc w:val="both"/>
        <w:rPr>
          <w:rFonts w:ascii="Arial" w:hAnsi="Arial" w:cs="Arial"/>
          <w:sz w:val="24"/>
          <w:szCs w:val="24"/>
        </w:rPr>
      </w:pPr>
    </w:p>
    <w:p w:rsidR="00F00E2D" w:rsidP="009C6303" w:rsidRDefault="00F00E2D" w14:paraId="76EB9A53" w14:textId="5CAE0F41">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Complaints that can be quickly resolved to the satisfaction of the complainant can be logged outside of </w:t>
      </w:r>
      <w:r w:rsidR="009C6303">
        <w:rPr>
          <w:rFonts w:ascii="Arial" w:hAnsi="Arial" w:cs="Arial"/>
          <w:sz w:val="24"/>
          <w:szCs w:val="24"/>
        </w:rPr>
        <w:t>S</w:t>
      </w:r>
      <w:r>
        <w:rPr>
          <w:rFonts w:ascii="Arial" w:hAnsi="Arial" w:cs="Arial"/>
          <w:sz w:val="24"/>
          <w:szCs w:val="24"/>
        </w:rPr>
        <w:t xml:space="preserve">chedule 3.  </w:t>
      </w:r>
    </w:p>
    <w:p w:rsidR="00F00E2D" w:rsidP="009C6303" w:rsidRDefault="00F00E2D" w14:paraId="478C55B1" w14:textId="77777777">
      <w:pPr>
        <w:pStyle w:val="NoSpacing"/>
        <w:ind w:left="709" w:hanging="709"/>
        <w:jc w:val="both"/>
        <w:rPr>
          <w:rFonts w:ascii="Arial" w:hAnsi="Arial" w:cs="Arial"/>
          <w:sz w:val="24"/>
          <w:szCs w:val="24"/>
        </w:rPr>
      </w:pPr>
    </w:p>
    <w:p w:rsidR="00F00E2D" w:rsidP="009C6303" w:rsidRDefault="00F00E2D" w14:paraId="6DC044BC" w14:textId="040D2FA2">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Complaints should be recorded inside </w:t>
      </w:r>
      <w:r w:rsidR="009C6303">
        <w:rPr>
          <w:rFonts w:ascii="Arial" w:hAnsi="Arial" w:cs="Arial"/>
          <w:sz w:val="24"/>
          <w:szCs w:val="24"/>
        </w:rPr>
        <w:t>S</w:t>
      </w:r>
      <w:r>
        <w:rPr>
          <w:rFonts w:ascii="Arial" w:hAnsi="Arial" w:cs="Arial"/>
          <w:sz w:val="24"/>
          <w:szCs w:val="24"/>
        </w:rPr>
        <w:t xml:space="preserve">chedule 3 if the complaint requires further investigation or if the complainant requests that the complaint is recorded.  </w:t>
      </w:r>
    </w:p>
    <w:p w:rsidR="00F00E2D" w:rsidP="00AC3F55" w:rsidRDefault="00F00E2D" w14:paraId="2CD36AC7" w14:textId="77777777">
      <w:pPr>
        <w:pStyle w:val="NoSpacing"/>
        <w:jc w:val="both"/>
        <w:rPr>
          <w:rFonts w:ascii="Arial" w:hAnsi="Arial" w:cs="Arial"/>
          <w:sz w:val="24"/>
          <w:szCs w:val="24"/>
        </w:rPr>
      </w:pPr>
    </w:p>
    <w:p w:rsidR="00AC3F55" w:rsidP="00AC3F55" w:rsidRDefault="00F00E2D" w14:paraId="2F61F782" w14:textId="77777777">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There is no right of review for complaints handled outside of </w:t>
      </w:r>
      <w:r w:rsidR="009C6303">
        <w:rPr>
          <w:rFonts w:ascii="Arial" w:hAnsi="Arial" w:cs="Arial"/>
          <w:sz w:val="24"/>
          <w:szCs w:val="24"/>
        </w:rPr>
        <w:t>S</w:t>
      </w:r>
      <w:r>
        <w:rPr>
          <w:rFonts w:ascii="Arial" w:hAnsi="Arial" w:cs="Arial"/>
          <w:sz w:val="24"/>
          <w:szCs w:val="24"/>
        </w:rPr>
        <w:t>chedule 3.</w:t>
      </w:r>
      <w:r w:rsidRPr="00187FAC">
        <w:rPr>
          <w:rFonts w:ascii="Arial" w:hAnsi="Arial" w:cs="Arial"/>
          <w:sz w:val="24"/>
          <w:szCs w:val="24"/>
        </w:rPr>
        <w:t xml:space="preserve"> </w:t>
      </w:r>
    </w:p>
    <w:p w:rsidR="00AC3F55" w:rsidP="00AC3F55" w:rsidRDefault="00AC3F55" w14:paraId="5C60F0E5" w14:textId="77777777">
      <w:pPr>
        <w:pStyle w:val="ListParagraph"/>
        <w:rPr>
          <w:rFonts w:ascii="Arial" w:hAnsi="Arial" w:cs="Arial"/>
          <w:sz w:val="24"/>
          <w:szCs w:val="24"/>
        </w:rPr>
      </w:pPr>
    </w:p>
    <w:p w:rsidR="00AC3F55" w:rsidP="00AC3F55" w:rsidRDefault="00AC3F55" w14:paraId="2566480C" w14:textId="4F07F16F">
      <w:pPr>
        <w:pStyle w:val="NoSpacing"/>
        <w:numPr>
          <w:ilvl w:val="1"/>
          <w:numId w:val="7"/>
        </w:numPr>
        <w:ind w:left="709" w:hanging="709"/>
        <w:jc w:val="both"/>
        <w:rPr>
          <w:rFonts w:ascii="Arial" w:hAnsi="Arial" w:cs="Arial"/>
          <w:sz w:val="24"/>
          <w:szCs w:val="24"/>
        </w:rPr>
      </w:pPr>
      <w:r w:rsidRPr="00AC3F55">
        <w:rPr>
          <w:rFonts w:ascii="Arial" w:hAnsi="Arial" w:cs="Arial"/>
          <w:sz w:val="24"/>
          <w:szCs w:val="24"/>
        </w:rPr>
        <w:t xml:space="preserve">The OPCC is the relevant review body for complaints handled otherwise than by </w:t>
      </w:r>
      <w:r w:rsidR="00961004">
        <w:rPr>
          <w:rFonts w:ascii="Arial" w:hAnsi="Arial" w:cs="Arial"/>
          <w:sz w:val="24"/>
          <w:szCs w:val="24"/>
        </w:rPr>
        <w:t xml:space="preserve">way of </w:t>
      </w:r>
      <w:r w:rsidRPr="00AC3F55">
        <w:rPr>
          <w:rFonts w:ascii="Arial" w:hAnsi="Arial" w:cs="Arial"/>
          <w:sz w:val="24"/>
          <w:szCs w:val="24"/>
        </w:rPr>
        <w:t xml:space="preserve">investigation. </w:t>
      </w:r>
    </w:p>
    <w:p w:rsidR="00AC3F55" w:rsidP="00AC3F55" w:rsidRDefault="00AC3F55" w14:paraId="32FA5F5B" w14:textId="77777777">
      <w:pPr>
        <w:pStyle w:val="ListParagraph"/>
        <w:rPr>
          <w:rFonts w:ascii="Arial" w:hAnsi="Arial" w:cs="Arial"/>
          <w:sz w:val="24"/>
          <w:szCs w:val="24"/>
        </w:rPr>
      </w:pPr>
    </w:p>
    <w:p w:rsidR="00AC3F55" w:rsidP="00AC3F55" w:rsidRDefault="00AC3F55" w14:paraId="57249F26" w14:textId="6FCBD7BC">
      <w:pPr>
        <w:pStyle w:val="NoSpacing"/>
        <w:numPr>
          <w:ilvl w:val="1"/>
          <w:numId w:val="7"/>
        </w:numPr>
        <w:ind w:left="709" w:hanging="709"/>
        <w:jc w:val="both"/>
        <w:rPr>
          <w:rFonts w:ascii="Arial" w:hAnsi="Arial" w:cs="Arial"/>
          <w:sz w:val="24"/>
          <w:szCs w:val="24"/>
        </w:rPr>
      </w:pPr>
      <w:r>
        <w:rPr>
          <w:rFonts w:ascii="Arial" w:hAnsi="Arial" w:cs="Arial"/>
          <w:sz w:val="24"/>
          <w:szCs w:val="24"/>
        </w:rPr>
        <w:t>The IOPC is the relevant review body for Police complaint</w:t>
      </w:r>
      <w:r w:rsidR="00961004">
        <w:rPr>
          <w:rFonts w:ascii="Arial" w:hAnsi="Arial" w:cs="Arial"/>
          <w:sz w:val="24"/>
          <w:szCs w:val="24"/>
        </w:rPr>
        <w:t xml:space="preserve">s handled by way of </w:t>
      </w:r>
      <w:r>
        <w:rPr>
          <w:rFonts w:ascii="Arial" w:hAnsi="Arial" w:cs="Arial"/>
          <w:sz w:val="24"/>
          <w:szCs w:val="24"/>
        </w:rPr>
        <w:t xml:space="preserve">investigation.  </w:t>
      </w:r>
    </w:p>
    <w:p w:rsidR="004C4F04" w:rsidP="004C4F04" w:rsidRDefault="004C4F04" w14:paraId="2E0549D9" w14:textId="77777777">
      <w:pPr>
        <w:pStyle w:val="NoSpacing"/>
        <w:ind w:left="709"/>
        <w:jc w:val="both"/>
        <w:rPr>
          <w:rFonts w:ascii="Arial" w:hAnsi="Arial" w:cs="Arial"/>
          <w:b/>
          <w:sz w:val="24"/>
          <w:szCs w:val="24"/>
        </w:rPr>
      </w:pPr>
    </w:p>
    <w:p w:rsidRPr="00423757" w:rsidR="004C4F04" w:rsidP="004C4F04" w:rsidRDefault="004C4F04" w14:paraId="5F26489D" w14:textId="4AA81A49">
      <w:pPr>
        <w:pStyle w:val="NoSpacing"/>
        <w:ind w:left="709"/>
        <w:jc w:val="both"/>
        <w:rPr>
          <w:rFonts w:ascii="Arial" w:hAnsi="Arial" w:cs="Arial"/>
          <w:b/>
          <w:sz w:val="24"/>
          <w:szCs w:val="24"/>
        </w:rPr>
      </w:pPr>
      <w:r w:rsidRPr="00423757">
        <w:rPr>
          <w:rFonts w:ascii="Arial" w:hAnsi="Arial" w:cs="Arial"/>
          <w:b/>
          <w:sz w:val="24"/>
          <w:szCs w:val="24"/>
        </w:rPr>
        <w:t>Complaint Files Dip Sampling</w:t>
      </w:r>
      <w:r>
        <w:rPr>
          <w:rFonts w:ascii="Arial" w:hAnsi="Arial" w:cs="Arial"/>
          <w:b/>
          <w:sz w:val="24"/>
          <w:szCs w:val="24"/>
        </w:rPr>
        <w:t xml:space="preserve"> Overview</w:t>
      </w:r>
    </w:p>
    <w:p w:rsidR="004C4F04" w:rsidP="004C4F04" w:rsidRDefault="004C4F04" w14:paraId="5ABC8979" w14:textId="77777777">
      <w:pPr>
        <w:pStyle w:val="NoSpacing"/>
        <w:ind w:left="709"/>
        <w:jc w:val="both"/>
        <w:rPr>
          <w:rFonts w:ascii="Arial" w:hAnsi="Arial" w:cs="Arial"/>
          <w:sz w:val="24"/>
          <w:szCs w:val="24"/>
        </w:rPr>
      </w:pPr>
    </w:p>
    <w:p w:rsidR="009C6303" w:rsidP="004C4F04" w:rsidRDefault="004C4F04" w14:paraId="4816AD5D" w14:textId="53CA36F5">
      <w:pPr>
        <w:pStyle w:val="NoSpacing"/>
        <w:numPr>
          <w:ilvl w:val="1"/>
          <w:numId w:val="7"/>
        </w:numPr>
        <w:ind w:left="851" w:hanging="851"/>
        <w:jc w:val="both"/>
        <w:rPr>
          <w:rFonts w:ascii="Arial" w:hAnsi="Arial" w:cs="Arial"/>
          <w:sz w:val="24"/>
          <w:szCs w:val="24"/>
        </w:rPr>
      </w:pPr>
      <w:r>
        <w:rPr>
          <w:rFonts w:ascii="Arial" w:hAnsi="Arial" w:cs="Arial"/>
          <w:sz w:val="24"/>
          <w:szCs w:val="24"/>
        </w:rPr>
        <w:t xml:space="preserve">To </w:t>
      </w:r>
      <w:r w:rsidRPr="00A81B9F">
        <w:rPr>
          <w:rFonts w:ascii="Arial" w:hAnsi="Arial" w:cs="Arial"/>
          <w:sz w:val="24"/>
          <w:szCs w:val="24"/>
        </w:rPr>
        <w:t>establish if Nottin</w:t>
      </w:r>
      <w:r>
        <w:rPr>
          <w:rFonts w:ascii="Arial" w:hAnsi="Arial" w:cs="Arial"/>
          <w:sz w:val="24"/>
          <w:szCs w:val="24"/>
        </w:rPr>
        <w:t>ghamshire Police complaints are being handled in accordance with</w:t>
      </w:r>
      <w:r w:rsidRPr="00A81B9F">
        <w:rPr>
          <w:rFonts w:ascii="Arial" w:hAnsi="Arial" w:cs="Arial"/>
          <w:sz w:val="24"/>
          <w:szCs w:val="24"/>
        </w:rPr>
        <w:t xml:space="preserve"> </w:t>
      </w:r>
      <w:r>
        <w:rPr>
          <w:rFonts w:ascii="Arial" w:hAnsi="Arial" w:cs="Arial"/>
          <w:sz w:val="24"/>
          <w:szCs w:val="24"/>
        </w:rPr>
        <w:t xml:space="preserve">the above-mentioned guidance and legislation, the Office of the Police and Crime Commissioner (OPCC) dip sampled 36 closed complaints during the period February–July 2022.  </w:t>
      </w:r>
    </w:p>
    <w:p w:rsidRPr="004C4F04" w:rsidR="004C4F04" w:rsidP="004C4F04" w:rsidRDefault="004C4F04" w14:paraId="0FAB2FD2" w14:textId="77777777">
      <w:pPr>
        <w:pStyle w:val="NoSpacing"/>
        <w:ind w:left="851"/>
        <w:jc w:val="both"/>
        <w:rPr>
          <w:rFonts w:ascii="Arial" w:hAnsi="Arial" w:cs="Arial"/>
          <w:sz w:val="24"/>
          <w:szCs w:val="24"/>
        </w:rPr>
      </w:pPr>
    </w:p>
    <w:p w:rsidRPr="009C6303" w:rsidR="009C6303" w:rsidP="009C6303" w:rsidRDefault="003D17AC" w14:paraId="0C6F50E7" w14:textId="40BBFF5E">
      <w:pPr>
        <w:pStyle w:val="ListParagraph"/>
        <w:rPr>
          <w:rFonts w:ascii="Arial" w:hAnsi="Arial" w:cs="Arial"/>
          <w:b/>
          <w:bCs/>
          <w:sz w:val="24"/>
          <w:szCs w:val="24"/>
        </w:rPr>
      </w:pPr>
      <w:r>
        <w:rPr>
          <w:rFonts w:ascii="Arial" w:hAnsi="Arial" w:cs="Arial"/>
          <w:b/>
          <w:bCs/>
          <w:sz w:val="24"/>
          <w:szCs w:val="24"/>
        </w:rPr>
        <w:t xml:space="preserve">Complaints </w:t>
      </w:r>
      <w:r w:rsidRPr="009C6303" w:rsidR="009C6303">
        <w:rPr>
          <w:rFonts w:ascii="Arial" w:hAnsi="Arial" w:cs="Arial"/>
          <w:b/>
          <w:bCs/>
          <w:sz w:val="24"/>
          <w:szCs w:val="24"/>
        </w:rPr>
        <w:t>Dip Sampling</w:t>
      </w:r>
    </w:p>
    <w:p w:rsidRPr="009C6303" w:rsidR="00F00E2D" w:rsidP="009C6303" w:rsidRDefault="009C6303" w14:paraId="1DED2EB2" w14:textId="6080C664">
      <w:pPr>
        <w:pStyle w:val="NoSpacing"/>
        <w:numPr>
          <w:ilvl w:val="1"/>
          <w:numId w:val="7"/>
        </w:numPr>
        <w:ind w:left="709" w:hanging="709"/>
        <w:jc w:val="both"/>
        <w:rPr>
          <w:rFonts w:ascii="Arial" w:hAnsi="Arial" w:cs="Arial"/>
          <w:sz w:val="24"/>
          <w:szCs w:val="24"/>
        </w:rPr>
      </w:pPr>
      <w:r>
        <w:rPr>
          <w:rFonts w:ascii="Arial" w:hAnsi="Arial" w:cs="Arial"/>
          <w:sz w:val="24"/>
          <w:szCs w:val="24"/>
        </w:rPr>
        <w:t>T</w:t>
      </w:r>
      <w:r w:rsidRPr="009C6303">
        <w:rPr>
          <w:rFonts w:ascii="Arial" w:hAnsi="Arial" w:cs="Arial"/>
          <w:sz w:val="24"/>
          <w:szCs w:val="24"/>
        </w:rPr>
        <w:t xml:space="preserve">he table below describes </w:t>
      </w:r>
      <w:r w:rsidR="00492F09">
        <w:rPr>
          <w:rFonts w:ascii="Arial" w:hAnsi="Arial" w:cs="Arial"/>
          <w:sz w:val="24"/>
          <w:szCs w:val="24"/>
        </w:rPr>
        <w:t xml:space="preserve">the outcomes of </w:t>
      </w:r>
      <w:r w:rsidRPr="009C6303" w:rsidR="00F00E2D">
        <w:rPr>
          <w:rFonts w:ascii="Arial" w:hAnsi="Arial" w:cs="Arial"/>
          <w:sz w:val="24"/>
          <w:szCs w:val="24"/>
        </w:rPr>
        <w:t xml:space="preserve">complaint cases </w:t>
      </w:r>
      <w:r w:rsidR="00C00C7B">
        <w:rPr>
          <w:rFonts w:ascii="Arial" w:hAnsi="Arial" w:cs="Arial"/>
          <w:sz w:val="24"/>
          <w:szCs w:val="24"/>
        </w:rPr>
        <w:t xml:space="preserve">dealt with otherwise than by investigation </w:t>
      </w:r>
      <w:r w:rsidR="00492F09">
        <w:rPr>
          <w:rFonts w:ascii="Arial" w:hAnsi="Arial" w:cs="Arial"/>
          <w:sz w:val="24"/>
          <w:szCs w:val="24"/>
        </w:rPr>
        <w:t xml:space="preserve">that have been </w:t>
      </w:r>
      <w:r w:rsidRPr="009C6303" w:rsidR="00F00E2D">
        <w:rPr>
          <w:rFonts w:ascii="Arial" w:hAnsi="Arial" w:cs="Arial"/>
          <w:sz w:val="24"/>
          <w:szCs w:val="24"/>
        </w:rPr>
        <w:t>dip sampled:</w:t>
      </w:r>
    </w:p>
    <w:p w:rsidR="00F00E2D" w:rsidP="00F00E2D" w:rsidRDefault="00F00E2D" w14:paraId="2F2533E3" w14:textId="77777777">
      <w:pPr>
        <w:pStyle w:val="NoSpacing"/>
        <w:ind w:left="709"/>
        <w:jc w:val="both"/>
        <w:rPr>
          <w:rFonts w:ascii="Arial" w:hAnsi="Arial" w:cs="Arial"/>
          <w:sz w:val="24"/>
          <w:szCs w:val="24"/>
        </w:rPr>
      </w:pPr>
    </w:p>
    <w:tbl>
      <w:tblPr>
        <w:tblStyle w:val="TableGrid"/>
        <w:tblW w:w="0" w:type="auto"/>
        <w:tblInd w:w="709" w:type="dxa"/>
        <w:tblLook w:val="04A0" w:firstRow="1" w:lastRow="0" w:firstColumn="1" w:lastColumn="0" w:noHBand="0" w:noVBand="1"/>
      </w:tblPr>
      <w:tblGrid>
        <w:gridCol w:w="841"/>
        <w:gridCol w:w="547"/>
        <w:gridCol w:w="790"/>
        <w:gridCol w:w="790"/>
        <w:gridCol w:w="790"/>
        <w:gridCol w:w="546"/>
        <w:gridCol w:w="546"/>
        <w:gridCol w:w="546"/>
        <w:gridCol w:w="546"/>
        <w:gridCol w:w="546"/>
        <w:gridCol w:w="546"/>
      </w:tblGrid>
      <w:tr w:rsidR="004E72D1" w:rsidTr="004E72D1" w14:paraId="6D9B875D" w14:textId="77777777">
        <w:trPr>
          <w:cantSplit/>
          <w:trHeight w:val="3676"/>
        </w:trPr>
        <w:tc>
          <w:tcPr>
            <w:tcW w:w="841" w:type="dxa"/>
            <w:textDirection w:val="btLr"/>
          </w:tcPr>
          <w:p w:rsidRPr="00AF608B" w:rsidR="004E72D1" w:rsidP="00F00E2D" w:rsidRDefault="004E72D1" w14:paraId="41446168" w14:textId="77777777">
            <w:pPr>
              <w:pStyle w:val="NoSpacing"/>
              <w:rPr>
                <w:rFonts w:ascii="Arial" w:hAnsi="Arial" w:cs="Arial"/>
                <w:sz w:val="24"/>
                <w:szCs w:val="24"/>
              </w:rPr>
            </w:pPr>
          </w:p>
        </w:tc>
        <w:tc>
          <w:tcPr>
            <w:tcW w:w="547" w:type="dxa"/>
            <w:textDirection w:val="btLr"/>
          </w:tcPr>
          <w:p w:rsidRPr="00AF608B" w:rsidR="004E72D1" w:rsidP="00F00E2D" w:rsidRDefault="004E72D1" w14:paraId="48372ACD" w14:textId="77777777">
            <w:pPr>
              <w:pStyle w:val="NoSpacing"/>
              <w:rPr>
                <w:rFonts w:ascii="Arial" w:hAnsi="Arial" w:cs="Arial"/>
                <w:sz w:val="24"/>
                <w:szCs w:val="24"/>
              </w:rPr>
            </w:pPr>
            <w:r w:rsidRPr="00AF608B">
              <w:rPr>
                <w:rFonts w:ascii="Arial" w:hAnsi="Arial" w:cs="Arial"/>
                <w:sz w:val="24"/>
                <w:szCs w:val="24"/>
              </w:rPr>
              <w:t>Logged inside schedule 3</w:t>
            </w:r>
          </w:p>
        </w:tc>
        <w:tc>
          <w:tcPr>
            <w:tcW w:w="790" w:type="dxa"/>
            <w:textDirection w:val="btLr"/>
          </w:tcPr>
          <w:p w:rsidR="004E72D1" w:rsidP="00F00E2D" w:rsidRDefault="004E72D1" w14:paraId="0771DBA9" w14:textId="77777777">
            <w:pPr>
              <w:pStyle w:val="NoSpacing"/>
              <w:rPr>
                <w:rFonts w:ascii="Arial" w:hAnsi="Arial" w:cs="Arial"/>
                <w:sz w:val="24"/>
                <w:szCs w:val="24"/>
              </w:rPr>
            </w:pPr>
            <w:r w:rsidRPr="00AF608B">
              <w:rPr>
                <w:rFonts w:ascii="Arial" w:hAnsi="Arial" w:cs="Arial"/>
                <w:sz w:val="24"/>
                <w:szCs w:val="24"/>
              </w:rPr>
              <w:t>Complainant provided with written outcome letter</w:t>
            </w:r>
          </w:p>
          <w:p w:rsidR="004E72D1" w:rsidP="00F00E2D" w:rsidRDefault="004E72D1" w14:paraId="36048610" w14:textId="77777777">
            <w:pPr>
              <w:pStyle w:val="NoSpacing"/>
              <w:rPr>
                <w:rFonts w:ascii="Arial" w:hAnsi="Arial" w:cs="Arial"/>
                <w:sz w:val="24"/>
                <w:szCs w:val="24"/>
              </w:rPr>
            </w:pPr>
          </w:p>
          <w:p w:rsidRPr="00AF608B" w:rsidR="004E72D1" w:rsidP="00F00E2D" w:rsidRDefault="004E72D1" w14:paraId="6697D8F8" w14:textId="77777777">
            <w:pPr>
              <w:pStyle w:val="NoSpacing"/>
              <w:rPr>
                <w:rFonts w:ascii="Arial" w:hAnsi="Arial" w:cs="Arial"/>
                <w:sz w:val="24"/>
                <w:szCs w:val="24"/>
              </w:rPr>
            </w:pPr>
          </w:p>
        </w:tc>
        <w:tc>
          <w:tcPr>
            <w:tcW w:w="790" w:type="dxa"/>
            <w:textDirection w:val="btLr"/>
          </w:tcPr>
          <w:p w:rsidR="004E72D1" w:rsidP="00F00E2D" w:rsidRDefault="004E72D1" w14:paraId="6A6B9508" w14:textId="61BA769E">
            <w:pPr>
              <w:pStyle w:val="NoSpacing"/>
              <w:rPr>
                <w:rFonts w:ascii="Arial" w:hAnsi="Arial" w:cs="Arial"/>
                <w:sz w:val="24"/>
                <w:szCs w:val="24"/>
              </w:rPr>
            </w:pPr>
            <w:r w:rsidRPr="00AF608B">
              <w:rPr>
                <w:rFonts w:ascii="Arial" w:hAnsi="Arial" w:cs="Arial"/>
                <w:sz w:val="24"/>
                <w:szCs w:val="24"/>
              </w:rPr>
              <w:t xml:space="preserve">Complaint outcome – </w:t>
            </w:r>
            <w:r>
              <w:rPr>
                <w:rFonts w:ascii="Arial" w:hAnsi="Arial" w:cs="Arial"/>
                <w:sz w:val="24"/>
                <w:szCs w:val="24"/>
              </w:rPr>
              <w:t>acceptable</w:t>
            </w:r>
          </w:p>
          <w:p w:rsidR="004E72D1" w:rsidP="00F00E2D" w:rsidRDefault="004E72D1" w14:paraId="3C41462C" w14:textId="77777777">
            <w:pPr>
              <w:pStyle w:val="NoSpacing"/>
              <w:rPr>
                <w:rFonts w:ascii="Arial" w:hAnsi="Arial" w:cs="Arial"/>
                <w:sz w:val="24"/>
                <w:szCs w:val="24"/>
              </w:rPr>
            </w:pPr>
          </w:p>
          <w:p w:rsidRPr="00AF608B" w:rsidR="004E72D1" w:rsidP="00F00E2D" w:rsidRDefault="004E72D1" w14:paraId="2F2DDFE6" w14:textId="77777777">
            <w:pPr>
              <w:pStyle w:val="NoSpacing"/>
              <w:rPr>
                <w:rFonts w:ascii="Arial" w:hAnsi="Arial" w:cs="Arial"/>
                <w:sz w:val="24"/>
                <w:szCs w:val="24"/>
              </w:rPr>
            </w:pPr>
          </w:p>
        </w:tc>
        <w:tc>
          <w:tcPr>
            <w:tcW w:w="790" w:type="dxa"/>
            <w:textDirection w:val="btLr"/>
          </w:tcPr>
          <w:p w:rsidR="004E72D1" w:rsidP="00F00E2D" w:rsidRDefault="004E72D1" w14:paraId="0DF35333" w14:textId="316216F7">
            <w:pPr>
              <w:pStyle w:val="NoSpacing"/>
              <w:rPr>
                <w:rFonts w:ascii="Arial" w:hAnsi="Arial" w:cs="Arial"/>
                <w:sz w:val="24"/>
                <w:szCs w:val="24"/>
              </w:rPr>
            </w:pPr>
            <w:r w:rsidRPr="00AF608B">
              <w:rPr>
                <w:rFonts w:ascii="Arial" w:hAnsi="Arial" w:cs="Arial"/>
                <w:sz w:val="24"/>
                <w:szCs w:val="24"/>
              </w:rPr>
              <w:t xml:space="preserve">Complaint outcome – not </w:t>
            </w:r>
            <w:r>
              <w:rPr>
                <w:rFonts w:ascii="Arial" w:hAnsi="Arial" w:cs="Arial"/>
                <w:sz w:val="24"/>
                <w:szCs w:val="24"/>
              </w:rPr>
              <w:t>acceptable or unable to determine</w:t>
            </w:r>
          </w:p>
          <w:p w:rsidR="004E72D1" w:rsidP="00F00E2D" w:rsidRDefault="004E72D1" w14:paraId="4ACB7A6F" w14:textId="77777777">
            <w:pPr>
              <w:pStyle w:val="NoSpacing"/>
              <w:rPr>
                <w:rFonts w:ascii="Arial" w:hAnsi="Arial" w:cs="Arial"/>
                <w:sz w:val="24"/>
                <w:szCs w:val="24"/>
              </w:rPr>
            </w:pPr>
          </w:p>
          <w:p w:rsidRPr="00AF608B" w:rsidR="004E72D1" w:rsidP="00F00E2D" w:rsidRDefault="004E72D1" w14:paraId="7B24C2EC" w14:textId="77777777">
            <w:pPr>
              <w:pStyle w:val="NoSpacing"/>
              <w:rPr>
                <w:rFonts w:ascii="Arial" w:hAnsi="Arial" w:cs="Arial"/>
                <w:sz w:val="24"/>
                <w:szCs w:val="24"/>
              </w:rPr>
            </w:pPr>
          </w:p>
        </w:tc>
        <w:tc>
          <w:tcPr>
            <w:tcW w:w="546" w:type="dxa"/>
            <w:textDirection w:val="btLr"/>
          </w:tcPr>
          <w:p w:rsidR="004E72D1" w:rsidP="00F00E2D" w:rsidRDefault="004E72D1" w14:paraId="4C56C654" w14:textId="77777777">
            <w:pPr>
              <w:pStyle w:val="NoSpacing"/>
              <w:rPr>
                <w:rFonts w:ascii="Arial" w:hAnsi="Arial" w:cs="Arial"/>
                <w:sz w:val="24"/>
                <w:szCs w:val="24"/>
              </w:rPr>
            </w:pPr>
            <w:r w:rsidRPr="00AF608B">
              <w:rPr>
                <w:rFonts w:ascii="Arial" w:hAnsi="Arial" w:cs="Arial"/>
                <w:sz w:val="24"/>
                <w:szCs w:val="24"/>
              </w:rPr>
              <w:t>Offered right of review</w:t>
            </w:r>
          </w:p>
          <w:p w:rsidRPr="00AF608B" w:rsidR="004E72D1" w:rsidP="00F00E2D" w:rsidRDefault="004E72D1" w14:paraId="38036240" w14:textId="77777777">
            <w:pPr>
              <w:pStyle w:val="NoSpacing"/>
              <w:rPr>
                <w:rFonts w:ascii="Arial" w:hAnsi="Arial" w:cs="Arial"/>
                <w:sz w:val="24"/>
                <w:szCs w:val="24"/>
              </w:rPr>
            </w:pPr>
          </w:p>
        </w:tc>
        <w:tc>
          <w:tcPr>
            <w:tcW w:w="546" w:type="dxa"/>
            <w:textDirection w:val="btLr"/>
          </w:tcPr>
          <w:p w:rsidRPr="00AF608B" w:rsidR="004E72D1" w:rsidP="00F00E2D" w:rsidRDefault="004E72D1" w14:paraId="74DD1401" w14:textId="77777777">
            <w:pPr>
              <w:pStyle w:val="NoSpacing"/>
              <w:rPr>
                <w:rFonts w:ascii="Arial" w:hAnsi="Arial" w:cs="Arial"/>
                <w:sz w:val="24"/>
                <w:szCs w:val="24"/>
              </w:rPr>
            </w:pPr>
            <w:r w:rsidRPr="00AF608B">
              <w:rPr>
                <w:rFonts w:ascii="Arial" w:hAnsi="Arial" w:cs="Arial"/>
                <w:sz w:val="24"/>
                <w:szCs w:val="24"/>
              </w:rPr>
              <w:t>Review requested</w:t>
            </w:r>
          </w:p>
        </w:tc>
        <w:tc>
          <w:tcPr>
            <w:tcW w:w="546" w:type="dxa"/>
            <w:textDirection w:val="btLr"/>
          </w:tcPr>
          <w:p w:rsidRPr="00AF608B" w:rsidR="004E72D1" w:rsidP="00F00E2D" w:rsidRDefault="004E72D1" w14:paraId="605553A3" w14:textId="77777777">
            <w:pPr>
              <w:pStyle w:val="NoSpacing"/>
              <w:rPr>
                <w:rFonts w:ascii="Arial" w:hAnsi="Arial" w:cs="Arial"/>
                <w:sz w:val="24"/>
                <w:szCs w:val="24"/>
              </w:rPr>
            </w:pPr>
            <w:r w:rsidRPr="00AF608B">
              <w:rPr>
                <w:rFonts w:ascii="Arial" w:hAnsi="Arial" w:cs="Arial"/>
                <w:sz w:val="24"/>
                <w:szCs w:val="24"/>
              </w:rPr>
              <w:t>Review not upheld</w:t>
            </w:r>
          </w:p>
        </w:tc>
        <w:tc>
          <w:tcPr>
            <w:tcW w:w="546" w:type="dxa"/>
            <w:textDirection w:val="btLr"/>
          </w:tcPr>
          <w:p w:rsidRPr="00AF608B" w:rsidR="004E72D1" w:rsidP="00F00E2D" w:rsidRDefault="004E72D1" w14:paraId="447675FF" w14:textId="77777777">
            <w:pPr>
              <w:pStyle w:val="NoSpacing"/>
              <w:rPr>
                <w:rFonts w:ascii="Arial" w:hAnsi="Arial" w:cs="Arial"/>
                <w:sz w:val="24"/>
                <w:szCs w:val="24"/>
              </w:rPr>
            </w:pPr>
            <w:r w:rsidRPr="00AF608B">
              <w:rPr>
                <w:rFonts w:ascii="Arial" w:hAnsi="Arial" w:cs="Arial"/>
                <w:sz w:val="24"/>
                <w:szCs w:val="24"/>
              </w:rPr>
              <w:t>Review upheld</w:t>
            </w:r>
          </w:p>
        </w:tc>
        <w:tc>
          <w:tcPr>
            <w:tcW w:w="546" w:type="dxa"/>
            <w:textDirection w:val="btLr"/>
          </w:tcPr>
          <w:p w:rsidRPr="00AF608B" w:rsidR="004E72D1" w:rsidP="00F00E2D" w:rsidRDefault="004E72D1" w14:paraId="0F99930D" w14:textId="77777777">
            <w:pPr>
              <w:pStyle w:val="NoSpacing"/>
              <w:rPr>
                <w:rFonts w:ascii="Arial" w:hAnsi="Arial" w:cs="Arial"/>
                <w:sz w:val="24"/>
                <w:szCs w:val="24"/>
              </w:rPr>
            </w:pPr>
            <w:r w:rsidRPr="00AF608B">
              <w:rPr>
                <w:rFonts w:ascii="Arial" w:hAnsi="Arial" w:cs="Arial"/>
                <w:sz w:val="24"/>
                <w:szCs w:val="24"/>
              </w:rPr>
              <w:t>Review ongoing</w:t>
            </w:r>
          </w:p>
        </w:tc>
        <w:tc>
          <w:tcPr>
            <w:tcW w:w="546" w:type="dxa"/>
            <w:textDirection w:val="btLr"/>
          </w:tcPr>
          <w:p w:rsidRPr="00AF608B" w:rsidR="004E72D1" w:rsidP="00F00E2D" w:rsidRDefault="004E72D1" w14:paraId="11AB2448" w14:textId="77777777">
            <w:pPr>
              <w:pStyle w:val="NoSpacing"/>
              <w:rPr>
                <w:rFonts w:ascii="Arial" w:hAnsi="Arial" w:cs="Arial"/>
                <w:sz w:val="24"/>
                <w:szCs w:val="24"/>
              </w:rPr>
            </w:pPr>
            <w:r w:rsidRPr="00AF608B">
              <w:rPr>
                <w:rFonts w:ascii="Arial" w:hAnsi="Arial" w:cs="Arial"/>
                <w:sz w:val="24"/>
                <w:szCs w:val="24"/>
              </w:rPr>
              <w:t>Complaints withdrawn</w:t>
            </w:r>
          </w:p>
        </w:tc>
      </w:tr>
      <w:tr w:rsidR="004E72D1" w:rsidTr="004E72D1" w14:paraId="4B37220F" w14:textId="77777777">
        <w:trPr>
          <w:trHeight w:val="516"/>
        </w:trPr>
        <w:tc>
          <w:tcPr>
            <w:tcW w:w="841" w:type="dxa"/>
          </w:tcPr>
          <w:p w:rsidR="004E72D1" w:rsidP="00F00E2D" w:rsidRDefault="004E72D1" w14:paraId="02A4F73F" w14:textId="77777777">
            <w:pPr>
              <w:pStyle w:val="NoSpacing"/>
              <w:jc w:val="both"/>
              <w:rPr>
                <w:rFonts w:ascii="Arial" w:hAnsi="Arial" w:cs="Arial"/>
              </w:rPr>
            </w:pPr>
            <w:r>
              <w:rPr>
                <w:rFonts w:ascii="Arial" w:hAnsi="Arial" w:cs="Arial"/>
              </w:rPr>
              <w:t>No. of Cases</w:t>
            </w:r>
          </w:p>
        </w:tc>
        <w:tc>
          <w:tcPr>
            <w:tcW w:w="547" w:type="dxa"/>
          </w:tcPr>
          <w:p w:rsidR="004E72D1" w:rsidP="00F00E2D" w:rsidRDefault="004E72D1" w14:paraId="4B61A14C" w14:textId="77777777">
            <w:pPr>
              <w:pStyle w:val="NoSpacing"/>
              <w:jc w:val="both"/>
              <w:rPr>
                <w:rFonts w:ascii="Arial" w:hAnsi="Arial" w:cs="Arial"/>
              </w:rPr>
            </w:pPr>
          </w:p>
          <w:p w:rsidRPr="00AF608B" w:rsidR="004E72D1" w:rsidP="00F00E2D" w:rsidRDefault="00644303" w14:paraId="7B75BA4C" w14:textId="74F27363">
            <w:pPr>
              <w:pStyle w:val="NoSpacing"/>
              <w:jc w:val="both"/>
              <w:rPr>
                <w:rFonts w:ascii="Arial" w:hAnsi="Arial" w:cs="Arial"/>
              </w:rPr>
            </w:pPr>
            <w:r>
              <w:rPr>
                <w:rFonts w:ascii="Arial" w:hAnsi="Arial" w:cs="Arial"/>
              </w:rPr>
              <w:t>10</w:t>
            </w:r>
          </w:p>
        </w:tc>
        <w:tc>
          <w:tcPr>
            <w:tcW w:w="790" w:type="dxa"/>
          </w:tcPr>
          <w:p w:rsidR="004E72D1" w:rsidP="00F00E2D" w:rsidRDefault="004E72D1" w14:paraId="6E78DFB5" w14:textId="77777777">
            <w:pPr>
              <w:pStyle w:val="NoSpacing"/>
              <w:jc w:val="both"/>
              <w:rPr>
                <w:rFonts w:ascii="Arial" w:hAnsi="Arial" w:cs="Arial"/>
              </w:rPr>
            </w:pPr>
          </w:p>
          <w:p w:rsidRPr="00AF608B" w:rsidR="004E72D1" w:rsidP="00F00E2D" w:rsidRDefault="004E72D1" w14:paraId="2E2B0463" w14:textId="436815C4">
            <w:pPr>
              <w:pStyle w:val="NoSpacing"/>
              <w:jc w:val="both"/>
              <w:rPr>
                <w:rFonts w:ascii="Arial" w:hAnsi="Arial" w:cs="Arial"/>
              </w:rPr>
            </w:pPr>
            <w:r>
              <w:rPr>
                <w:rFonts w:ascii="Arial" w:hAnsi="Arial" w:cs="Arial"/>
              </w:rPr>
              <w:t>8</w:t>
            </w:r>
          </w:p>
        </w:tc>
        <w:tc>
          <w:tcPr>
            <w:tcW w:w="790" w:type="dxa"/>
          </w:tcPr>
          <w:p w:rsidR="004E72D1" w:rsidP="00F00E2D" w:rsidRDefault="004E72D1" w14:paraId="43541784" w14:textId="77777777">
            <w:pPr>
              <w:pStyle w:val="NoSpacing"/>
              <w:jc w:val="both"/>
              <w:rPr>
                <w:rFonts w:ascii="Arial" w:hAnsi="Arial" w:cs="Arial"/>
              </w:rPr>
            </w:pPr>
          </w:p>
          <w:p w:rsidRPr="00AF608B" w:rsidR="004E72D1" w:rsidP="00F00E2D" w:rsidRDefault="004E72D1" w14:paraId="0C16FCB9" w14:textId="6B843321">
            <w:pPr>
              <w:pStyle w:val="NoSpacing"/>
              <w:jc w:val="both"/>
              <w:rPr>
                <w:rFonts w:ascii="Arial" w:hAnsi="Arial" w:cs="Arial"/>
              </w:rPr>
            </w:pPr>
            <w:r>
              <w:rPr>
                <w:rFonts w:ascii="Arial" w:hAnsi="Arial" w:cs="Arial"/>
              </w:rPr>
              <w:t>4</w:t>
            </w:r>
          </w:p>
        </w:tc>
        <w:tc>
          <w:tcPr>
            <w:tcW w:w="790" w:type="dxa"/>
          </w:tcPr>
          <w:p w:rsidR="004E72D1" w:rsidP="00F00E2D" w:rsidRDefault="004E72D1" w14:paraId="68E9E98C" w14:textId="77777777">
            <w:pPr>
              <w:pStyle w:val="NoSpacing"/>
              <w:jc w:val="both"/>
              <w:rPr>
                <w:rFonts w:ascii="Arial" w:hAnsi="Arial" w:cs="Arial"/>
              </w:rPr>
            </w:pPr>
          </w:p>
          <w:p w:rsidRPr="00AF608B" w:rsidR="004E72D1" w:rsidP="00F00E2D" w:rsidRDefault="001218B6" w14:paraId="70B17D5E" w14:textId="71F7A86A">
            <w:pPr>
              <w:pStyle w:val="NoSpacing"/>
              <w:jc w:val="both"/>
              <w:rPr>
                <w:rFonts w:ascii="Arial" w:hAnsi="Arial" w:cs="Arial"/>
              </w:rPr>
            </w:pPr>
            <w:r>
              <w:rPr>
                <w:rFonts w:ascii="Arial" w:hAnsi="Arial" w:cs="Arial"/>
              </w:rPr>
              <w:t>4</w:t>
            </w:r>
          </w:p>
        </w:tc>
        <w:tc>
          <w:tcPr>
            <w:tcW w:w="546" w:type="dxa"/>
          </w:tcPr>
          <w:p w:rsidR="004E72D1" w:rsidP="00F00E2D" w:rsidRDefault="004E72D1" w14:paraId="6423735C" w14:textId="77777777">
            <w:pPr>
              <w:pStyle w:val="NoSpacing"/>
              <w:jc w:val="both"/>
              <w:rPr>
                <w:rFonts w:ascii="Arial" w:hAnsi="Arial" w:cs="Arial"/>
              </w:rPr>
            </w:pPr>
          </w:p>
          <w:p w:rsidRPr="00AF608B" w:rsidR="004E72D1" w:rsidP="00F00E2D" w:rsidRDefault="004E72D1" w14:paraId="3F0D8622" w14:textId="42B17724">
            <w:pPr>
              <w:pStyle w:val="NoSpacing"/>
              <w:jc w:val="both"/>
              <w:rPr>
                <w:rFonts w:ascii="Arial" w:hAnsi="Arial" w:cs="Arial"/>
              </w:rPr>
            </w:pPr>
            <w:r>
              <w:rPr>
                <w:rFonts w:ascii="Arial" w:hAnsi="Arial" w:cs="Arial"/>
              </w:rPr>
              <w:t>8</w:t>
            </w:r>
          </w:p>
        </w:tc>
        <w:tc>
          <w:tcPr>
            <w:tcW w:w="546" w:type="dxa"/>
          </w:tcPr>
          <w:p w:rsidR="004E72D1" w:rsidP="00F00E2D" w:rsidRDefault="004E72D1" w14:paraId="04DFADE8" w14:textId="77777777">
            <w:pPr>
              <w:pStyle w:val="NoSpacing"/>
              <w:jc w:val="both"/>
              <w:rPr>
                <w:rFonts w:ascii="Arial" w:hAnsi="Arial" w:cs="Arial"/>
              </w:rPr>
            </w:pPr>
          </w:p>
          <w:p w:rsidRPr="00AF608B" w:rsidR="004E72D1" w:rsidP="00F00E2D" w:rsidRDefault="004E72D1" w14:paraId="141F51CF" w14:textId="521ED391">
            <w:pPr>
              <w:pStyle w:val="NoSpacing"/>
              <w:jc w:val="both"/>
              <w:rPr>
                <w:rFonts w:ascii="Arial" w:hAnsi="Arial" w:cs="Arial"/>
              </w:rPr>
            </w:pPr>
            <w:r>
              <w:rPr>
                <w:rFonts w:ascii="Arial" w:hAnsi="Arial" w:cs="Arial"/>
              </w:rPr>
              <w:t>2</w:t>
            </w:r>
          </w:p>
        </w:tc>
        <w:tc>
          <w:tcPr>
            <w:tcW w:w="546" w:type="dxa"/>
          </w:tcPr>
          <w:p w:rsidR="004E72D1" w:rsidP="00F00E2D" w:rsidRDefault="004E72D1" w14:paraId="10923257" w14:textId="77777777">
            <w:pPr>
              <w:pStyle w:val="NoSpacing"/>
              <w:jc w:val="both"/>
              <w:rPr>
                <w:rFonts w:ascii="Arial" w:hAnsi="Arial" w:cs="Arial"/>
              </w:rPr>
            </w:pPr>
          </w:p>
          <w:p w:rsidRPr="00AF608B" w:rsidR="004E72D1" w:rsidP="00F00E2D" w:rsidRDefault="004E72D1" w14:paraId="53A1F9AA" w14:textId="4349959D">
            <w:pPr>
              <w:pStyle w:val="NoSpacing"/>
              <w:jc w:val="both"/>
              <w:rPr>
                <w:rFonts w:ascii="Arial" w:hAnsi="Arial" w:cs="Arial"/>
              </w:rPr>
            </w:pPr>
            <w:r>
              <w:rPr>
                <w:rFonts w:ascii="Arial" w:hAnsi="Arial" w:cs="Arial"/>
              </w:rPr>
              <w:t>0</w:t>
            </w:r>
          </w:p>
        </w:tc>
        <w:tc>
          <w:tcPr>
            <w:tcW w:w="546" w:type="dxa"/>
          </w:tcPr>
          <w:p w:rsidR="004E72D1" w:rsidP="00F00E2D" w:rsidRDefault="004E72D1" w14:paraId="07F3C23B" w14:textId="77777777">
            <w:pPr>
              <w:pStyle w:val="NoSpacing"/>
              <w:jc w:val="both"/>
              <w:rPr>
                <w:rFonts w:ascii="Arial" w:hAnsi="Arial" w:cs="Arial"/>
              </w:rPr>
            </w:pPr>
          </w:p>
          <w:p w:rsidRPr="00AF608B" w:rsidR="004E72D1" w:rsidP="00F00E2D" w:rsidRDefault="004E72D1" w14:paraId="2D6F123F" w14:textId="318E92FC">
            <w:pPr>
              <w:pStyle w:val="NoSpacing"/>
              <w:jc w:val="both"/>
              <w:rPr>
                <w:rFonts w:ascii="Arial" w:hAnsi="Arial" w:cs="Arial"/>
              </w:rPr>
            </w:pPr>
            <w:r>
              <w:rPr>
                <w:rFonts w:ascii="Arial" w:hAnsi="Arial" w:cs="Arial"/>
              </w:rPr>
              <w:t>2</w:t>
            </w:r>
          </w:p>
        </w:tc>
        <w:tc>
          <w:tcPr>
            <w:tcW w:w="546" w:type="dxa"/>
          </w:tcPr>
          <w:p w:rsidR="004E72D1" w:rsidP="00F00E2D" w:rsidRDefault="004E72D1" w14:paraId="191BD94D" w14:textId="77777777">
            <w:pPr>
              <w:pStyle w:val="NoSpacing"/>
              <w:jc w:val="both"/>
              <w:rPr>
                <w:rFonts w:ascii="Arial" w:hAnsi="Arial" w:cs="Arial"/>
              </w:rPr>
            </w:pPr>
          </w:p>
          <w:p w:rsidRPr="00AF608B" w:rsidR="004E72D1" w:rsidP="00F00E2D" w:rsidRDefault="004E72D1" w14:paraId="5C6C0D5A" w14:textId="16E9E248">
            <w:pPr>
              <w:pStyle w:val="NoSpacing"/>
              <w:jc w:val="both"/>
              <w:rPr>
                <w:rFonts w:ascii="Arial" w:hAnsi="Arial" w:cs="Arial"/>
              </w:rPr>
            </w:pPr>
            <w:r>
              <w:rPr>
                <w:rFonts w:ascii="Arial" w:hAnsi="Arial" w:cs="Arial"/>
              </w:rPr>
              <w:t>0</w:t>
            </w:r>
          </w:p>
        </w:tc>
        <w:tc>
          <w:tcPr>
            <w:tcW w:w="546" w:type="dxa"/>
          </w:tcPr>
          <w:p w:rsidR="004E72D1" w:rsidP="00F00E2D" w:rsidRDefault="004E72D1" w14:paraId="3849203E" w14:textId="77777777">
            <w:pPr>
              <w:pStyle w:val="NoSpacing"/>
              <w:jc w:val="both"/>
              <w:rPr>
                <w:rFonts w:ascii="Arial" w:hAnsi="Arial" w:cs="Arial"/>
              </w:rPr>
            </w:pPr>
          </w:p>
          <w:p w:rsidRPr="00AF608B" w:rsidR="004E72D1" w:rsidP="00F00E2D" w:rsidRDefault="00644303" w14:paraId="6866CF99" w14:textId="31EFD216">
            <w:pPr>
              <w:pStyle w:val="NoSpacing"/>
              <w:jc w:val="both"/>
              <w:rPr>
                <w:rFonts w:ascii="Arial" w:hAnsi="Arial" w:cs="Arial"/>
              </w:rPr>
            </w:pPr>
            <w:r>
              <w:rPr>
                <w:rFonts w:ascii="Arial" w:hAnsi="Arial" w:cs="Arial"/>
              </w:rPr>
              <w:t>2</w:t>
            </w:r>
          </w:p>
        </w:tc>
      </w:tr>
    </w:tbl>
    <w:p w:rsidR="00C25020" w:rsidP="00C25020" w:rsidRDefault="00C25020" w14:paraId="38DE62A1" w14:textId="0B17EB5B">
      <w:pPr>
        <w:pStyle w:val="NoSpacing"/>
        <w:ind w:left="709"/>
        <w:jc w:val="both"/>
        <w:rPr>
          <w:rFonts w:ascii="Arial" w:hAnsi="Arial" w:cs="Arial"/>
          <w:sz w:val="24"/>
          <w:szCs w:val="24"/>
        </w:rPr>
      </w:pPr>
    </w:p>
    <w:p w:rsidR="004E72D1" w:rsidP="00C25020" w:rsidRDefault="004E72D1" w14:paraId="2FACABCC" w14:textId="79B5D04D">
      <w:pPr>
        <w:pStyle w:val="NoSpacing"/>
        <w:ind w:left="709"/>
        <w:jc w:val="both"/>
        <w:rPr>
          <w:rFonts w:ascii="Arial" w:hAnsi="Arial" w:cs="Arial"/>
          <w:sz w:val="24"/>
          <w:szCs w:val="24"/>
        </w:rPr>
      </w:pPr>
      <w:r>
        <w:rPr>
          <w:rFonts w:ascii="Arial" w:hAnsi="Arial" w:cs="Arial"/>
          <w:sz w:val="24"/>
          <w:szCs w:val="24"/>
        </w:rPr>
        <w:t xml:space="preserve">2 cases were logged outside of schedule 3 to the satisfaction of the complainant.  </w:t>
      </w:r>
    </w:p>
    <w:p w:rsidR="001218B6" w:rsidP="00C25020" w:rsidRDefault="001218B6" w14:paraId="4F050F89" w14:textId="1031D476">
      <w:pPr>
        <w:pStyle w:val="NoSpacing"/>
        <w:ind w:left="709"/>
        <w:jc w:val="both"/>
        <w:rPr>
          <w:rFonts w:ascii="Arial" w:hAnsi="Arial" w:cs="Arial"/>
          <w:sz w:val="24"/>
          <w:szCs w:val="24"/>
        </w:rPr>
      </w:pPr>
    </w:p>
    <w:p w:rsidR="00F00E2D" w:rsidP="00492F09" w:rsidRDefault="00492F09" w14:paraId="1D226E7F" w14:textId="749CA7CD">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Of note are the following: </w:t>
      </w:r>
    </w:p>
    <w:p w:rsidR="000E4A64" w:rsidP="000E4A64" w:rsidRDefault="000E4A64" w14:paraId="53154313" w14:textId="77777777">
      <w:pPr>
        <w:pStyle w:val="NoSpacing"/>
        <w:jc w:val="both"/>
        <w:rPr>
          <w:rFonts w:ascii="Arial" w:hAnsi="Arial" w:cs="Arial"/>
          <w:sz w:val="24"/>
          <w:szCs w:val="24"/>
        </w:rPr>
      </w:pPr>
    </w:p>
    <w:p w:rsidR="006B02DB" w:rsidP="000E4A64" w:rsidRDefault="006B02DB" w14:paraId="3E1EBBF6" w14:textId="4BE1034F">
      <w:pPr>
        <w:pStyle w:val="NoSpacing"/>
        <w:numPr>
          <w:ilvl w:val="2"/>
          <w:numId w:val="7"/>
        </w:numPr>
        <w:ind w:left="1560" w:hanging="808"/>
        <w:jc w:val="both"/>
        <w:rPr>
          <w:rFonts w:ascii="Arial" w:hAnsi="Arial" w:cs="Arial"/>
          <w:sz w:val="24"/>
          <w:szCs w:val="24"/>
        </w:rPr>
      </w:pPr>
      <w:r>
        <w:rPr>
          <w:rFonts w:ascii="Arial" w:hAnsi="Arial" w:cs="Arial"/>
          <w:sz w:val="24"/>
          <w:szCs w:val="24"/>
        </w:rPr>
        <w:t xml:space="preserve">The </w:t>
      </w:r>
      <w:r w:rsidR="001218B6">
        <w:rPr>
          <w:rFonts w:ascii="Arial" w:hAnsi="Arial" w:cs="Arial"/>
          <w:sz w:val="24"/>
          <w:szCs w:val="24"/>
        </w:rPr>
        <w:t xml:space="preserve">4 </w:t>
      </w:r>
      <w:r>
        <w:rPr>
          <w:rFonts w:ascii="Arial" w:hAnsi="Arial" w:cs="Arial"/>
          <w:sz w:val="24"/>
          <w:szCs w:val="24"/>
        </w:rPr>
        <w:t>case</w:t>
      </w:r>
      <w:r w:rsidR="001218B6">
        <w:rPr>
          <w:rFonts w:ascii="Arial" w:hAnsi="Arial" w:cs="Arial"/>
          <w:sz w:val="24"/>
          <w:szCs w:val="24"/>
        </w:rPr>
        <w:t>s where</w:t>
      </w:r>
      <w:r>
        <w:rPr>
          <w:rFonts w:ascii="Arial" w:hAnsi="Arial" w:cs="Arial"/>
          <w:sz w:val="24"/>
          <w:szCs w:val="24"/>
        </w:rPr>
        <w:t xml:space="preserve"> </w:t>
      </w:r>
      <w:r w:rsidR="001218B6">
        <w:rPr>
          <w:rFonts w:ascii="Arial" w:hAnsi="Arial" w:cs="Arial"/>
          <w:sz w:val="24"/>
          <w:szCs w:val="24"/>
        </w:rPr>
        <w:t xml:space="preserve">it could not be determined if </w:t>
      </w:r>
      <w:r>
        <w:rPr>
          <w:rFonts w:ascii="Arial" w:hAnsi="Arial" w:cs="Arial"/>
          <w:sz w:val="24"/>
          <w:szCs w:val="24"/>
        </w:rPr>
        <w:t xml:space="preserve">the level of service was acceptable or not was because the outcome letter did not </w:t>
      </w:r>
      <w:r w:rsidR="000E4A64">
        <w:rPr>
          <w:rFonts w:ascii="Arial" w:hAnsi="Arial" w:cs="Arial"/>
          <w:sz w:val="24"/>
          <w:szCs w:val="24"/>
        </w:rPr>
        <w:t>explicitly provide</w:t>
      </w:r>
      <w:r>
        <w:rPr>
          <w:rFonts w:ascii="Arial" w:hAnsi="Arial" w:cs="Arial"/>
          <w:sz w:val="24"/>
          <w:szCs w:val="24"/>
        </w:rPr>
        <w:t xml:space="preserve"> that detail.</w:t>
      </w:r>
    </w:p>
    <w:p w:rsidR="000E4A64" w:rsidP="000E4A64" w:rsidRDefault="000E4A64" w14:paraId="133B4F54" w14:textId="77777777">
      <w:pPr>
        <w:pStyle w:val="NoSpacing"/>
        <w:jc w:val="both"/>
        <w:rPr>
          <w:rFonts w:ascii="Arial" w:hAnsi="Arial" w:cs="Arial"/>
          <w:sz w:val="24"/>
          <w:szCs w:val="24"/>
        </w:rPr>
      </w:pPr>
    </w:p>
    <w:p w:rsidR="001218B6" w:rsidP="001218B6" w:rsidRDefault="006B02DB" w14:paraId="09502D4C" w14:textId="418C63D4">
      <w:pPr>
        <w:pStyle w:val="NoSpacing"/>
        <w:numPr>
          <w:ilvl w:val="2"/>
          <w:numId w:val="7"/>
        </w:numPr>
        <w:ind w:left="1560" w:hanging="808"/>
        <w:jc w:val="both"/>
        <w:rPr>
          <w:rFonts w:ascii="Arial" w:hAnsi="Arial" w:cs="Arial"/>
          <w:sz w:val="24"/>
          <w:szCs w:val="24"/>
        </w:rPr>
      </w:pPr>
      <w:r>
        <w:rPr>
          <w:rFonts w:ascii="Arial" w:hAnsi="Arial" w:cs="Arial"/>
          <w:sz w:val="24"/>
          <w:szCs w:val="24"/>
        </w:rPr>
        <w:t>All complainants were offered a right of review</w:t>
      </w:r>
      <w:r w:rsidR="001218B6">
        <w:rPr>
          <w:rFonts w:ascii="Arial" w:hAnsi="Arial" w:cs="Arial"/>
          <w:sz w:val="24"/>
          <w:szCs w:val="24"/>
        </w:rPr>
        <w:t>.</w:t>
      </w:r>
    </w:p>
    <w:p w:rsidRPr="001218B6" w:rsidR="001218B6" w:rsidP="001218B6" w:rsidRDefault="001218B6" w14:paraId="41DE8A64" w14:textId="77777777">
      <w:pPr>
        <w:pStyle w:val="NoSpacing"/>
        <w:jc w:val="both"/>
        <w:rPr>
          <w:rFonts w:ascii="Arial" w:hAnsi="Arial" w:cs="Arial"/>
          <w:sz w:val="24"/>
          <w:szCs w:val="24"/>
        </w:rPr>
      </w:pPr>
    </w:p>
    <w:p w:rsidR="001218B6" w:rsidP="001218B6" w:rsidRDefault="001218B6" w14:paraId="4C570C83" w14:textId="083B160D">
      <w:pPr>
        <w:pStyle w:val="NoSpacing"/>
        <w:numPr>
          <w:ilvl w:val="2"/>
          <w:numId w:val="7"/>
        </w:numPr>
        <w:ind w:left="1560" w:hanging="808"/>
        <w:jc w:val="both"/>
        <w:rPr>
          <w:rFonts w:ascii="Arial" w:hAnsi="Arial" w:cs="Arial"/>
          <w:sz w:val="24"/>
          <w:szCs w:val="24"/>
        </w:rPr>
      </w:pPr>
      <w:r>
        <w:rPr>
          <w:rFonts w:ascii="Arial" w:hAnsi="Arial" w:cs="Arial"/>
          <w:sz w:val="24"/>
          <w:szCs w:val="24"/>
        </w:rPr>
        <w:t>One upheld complaint review</w:t>
      </w:r>
      <w:r w:rsidRPr="001218B6">
        <w:rPr>
          <w:rFonts w:ascii="Arial" w:hAnsi="Arial" w:cs="Arial"/>
          <w:sz w:val="24"/>
          <w:szCs w:val="24"/>
        </w:rPr>
        <w:t xml:space="preserve"> relates to the disclosure of informatio</w:t>
      </w:r>
      <w:r w:rsidR="00363F9B">
        <w:rPr>
          <w:rFonts w:ascii="Arial" w:hAnsi="Arial" w:cs="Arial"/>
          <w:sz w:val="24"/>
          <w:szCs w:val="24"/>
        </w:rPr>
        <w:t>n</w:t>
      </w:r>
      <w:r>
        <w:rPr>
          <w:rFonts w:ascii="Arial" w:hAnsi="Arial" w:cs="Arial"/>
          <w:sz w:val="24"/>
          <w:szCs w:val="24"/>
        </w:rPr>
        <w:t>.  PSD accepted the recommendation that if</w:t>
      </w:r>
      <w:r w:rsidRPr="001218B6">
        <w:rPr>
          <w:rFonts w:ascii="Arial" w:hAnsi="Arial" w:cs="Arial"/>
          <w:sz w:val="24"/>
          <w:szCs w:val="24"/>
        </w:rPr>
        <w:t xml:space="preserve"> disclosure was made, the reasons for this should be explained to the complainant</w:t>
      </w:r>
      <w:r w:rsidR="00363F9B">
        <w:rPr>
          <w:rFonts w:ascii="Arial" w:hAnsi="Arial" w:cs="Arial"/>
          <w:sz w:val="24"/>
          <w:szCs w:val="24"/>
        </w:rPr>
        <w:t xml:space="preserve">.  </w:t>
      </w:r>
    </w:p>
    <w:p w:rsidRPr="001218B6" w:rsidR="001218B6" w:rsidP="001218B6" w:rsidRDefault="001218B6" w14:paraId="75146D83" w14:textId="77777777">
      <w:pPr>
        <w:pStyle w:val="NoSpacing"/>
        <w:jc w:val="both"/>
        <w:rPr>
          <w:rFonts w:ascii="Arial" w:hAnsi="Arial" w:cs="Arial"/>
          <w:sz w:val="24"/>
          <w:szCs w:val="24"/>
        </w:rPr>
      </w:pPr>
    </w:p>
    <w:p w:rsidR="001218B6" w:rsidP="000E4A64" w:rsidRDefault="001218B6" w14:paraId="218026A3" w14:textId="561D151A">
      <w:pPr>
        <w:pStyle w:val="NoSpacing"/>
        <w:numPr>
          <w:ilvl w:val="2"/>
          <w:numId w:val="7"/>
        </w:numPr>
        <w:ind w:left="1560" w:hanging="808"/>
        <w:jc w:val="both"/>
        <w:rPr>
          <w:rFonts w:ascii="Arial" w:hAnsi="Arial" w:cs="Arial"/>
          <w:sz w:val="24"/>
          <w:szCs w:val="24"/>
        </w:rPr>
      </w:pPr>
      <w:r>
        <w:rPr>
          <w:rFonts w:ascii="Arial" w:hAnsi="Arial" w:cs="Arial"/>
          <w:sz w:val="24"/>
          <w:szCs w:val="24"/>
        </w:rPr>
        <w:t xml:space="preserve">The other upheld complaint review related to </w:t>
      </w:r>
      <w:r w:rsidR="00644303">
        <w:rPr>
          <w:rFonts w:ascii="Arial" w:hAnsi="Arial" w:cs="Arial"/>
          <w:sz w:val="24"/>
          <w:szCs w:val="24"/>
        </w:rPr>
        <w:t xml:space="preserve">a serious injury a complainant </w:t>
      </w:r>
      <w:r w:rsidRPr="00644303" w:rsidR="00644303">
        <w:rPr>
          <w:rFonts w:ascii="Arial" w:hAnsi="Arial" w:cs="Arial"/>
          <w:sz w:val="24"/>
          <w:szCs w:val="24"/>
        </w:rPr>
        <w:t>sustained</w:t>
      </w:r>
      <w:r w:rsidR="00644303">
        <w:rPr>
          <w:rFonts w:ascii="Arial" w:hAnsi="Arial" w:cs="Arial"/>
          <w:sz w:val="24"/>
          <w:szCs w:val="24"/>
        </w:rPr>
        <w:t xml:space="preserve"> that</w:t>
      </w:r>
      <w:r w:rsidRPr="00644303" w:rsidR="00644303">
        <w:rPr>
          <w:rFonts w:ascii="Arial" w:hAnsi="Arial" w:cs="Arial"/>
          <w:sz w:val="24"/>
          <w:szCs w:val="24"/>
        </w:rPr>
        <w:t xml:space="preserve"> should have prompted Nottinghamshire Police to refer the matter to the IOPC as </w:t>
      </w:r>
      <w:r w:rsidR="00644303">
        <w:rPr>
          <w:rFonts w:ascii="Arial" w:hAnsi="Arial" w:cs="Arial"/>
          <w:sz w:val="24"/>
          <w:szCs w:val="24"/>
        </w:rPr>
        <w:t>per</w:t>
      </w:r>
      <w:r w:rsidRPr="00644303" w:rsidR="00644303">
        <w:rPr>
          <w:rFonts w:ascii="Arial" w:hAnsi="Arial" w:cs="Arial"/>
          <w:sz w:val="24"/>
          <w:szCs w:val="24"/>
        </w:rPr>
        <w:t xml:space="preserve"> the mandatory referral criteria. This was not done.</w:t>
      </w:r>
      <w:r w:rsidR="00644303">
        <w:rPr>
          <w:rFonts w:ascii="Arial" w:hAnsi="Arial" w:cs="Arial"/>
          <w:sz w:val="24"/>
          <w:szCs w:val="24"/>
        </w:rPr>
        <w:t xml:space="preserve">  PSD accepted the recommendation and referred the complaint to the IOPC.  </w:t>
      </w:r>
    </w:p>
    <w:p w:rsidR="00F00E2D" w:rsidP="00F00E2D" w:rsidRDefault="00F00E2D" w14:paraId="1A214076" w14:textId="77777777">
      <w:pPr>
        <w:pStyle w:val="NoSpacing"/>
        <w:jc w:val="both"/>
      </w:pPr>
    </w:p>
    <w:p w:rsidRPr="002E433B" w:rsidR="00F00E2D" w:rsidP="003D17AC" w:rsidRDefault="00AC3183" w14:paraId="08B2A74B" w14:textId="0D81DE47">
      <w:pPr>
        <w:pStyle w:val="NoSpacing"/>
        <w:ind w:left="709"/>
        <w:jc w:val="both"/>
        <w:rPr>
          <w:rFonts w:ascii="Arial" w:hAnsi="Arial" w:cs="Arial"/>
          <w:b/>
          <w:sz w:val="24"/>
          <w:szCs w:val="24"/>
        </w:rPr>
      </w:pPr>
      <w:r>
        <w:rPr>
          <w:rFonts w:ascii="Arial" w:hAnsi="Arial" w:cs="Arial"/>
          <w:b/>
          <w:sz w:val="24"/>
          <w:szCs w:val="24"/>
        </w:rPr>
        <w:t xml:space="preserve">Police Complaint </w:t>
      </w:r>
      <w:r w:rsidR="00F00E2D">
        <w:rPr>
          <w:rFonts w:ascii="Arial" w:hAnsi="Arial" w:cs="Arial"/>
          <w:b/>
          <w:sz w:val="24"/>
          <w:szCs w:val="24"/>
        </w:rPr>
        <w:t>Investigations</w:t>
      </w:r>
    </w:p>
    <w:p w:rsidR="00F00E2D" w:rsidP="00F00E2D" w:rsidRDefault="00F00E2D" w14:paraId="48C8931B" w14:textId="77777777">
      <w:pPr>
        <w:pStyle w:val="NoSpacing"/>
        <w:ind w:left="709" w:hanging="709"/>
        <w:rPr>
          <w:rFonts w:ascii="Arial" w:hAnsi="Arial" w:cs="Arial"/>
          <w:bCs/>
          <w:sz w:val="24"/>
          <w:szCs w:val="24"/>
        </w:rPr>
      </w:pPr>
    </w:p>
    <w:p w:rsidR="00F00E2D" w:rsidP="003D17AC" w:rsidRDefault="00AC3183" w14:paraId="51C048C0" w14:textId="707BD536">
      <w:pPr>
        <w:pStyle w:val="NoSpacing"/>
        <w:numPr>
          <w:ilvl w:val="1"/>
          <w:numId w:val="7"/>
        </w:numPr>
        <w:ind w:left="709" w:hanging="709"/>
        <w:jc w:val="both"/>
        <w:rPr>
          <w:rFonts w:ascii="Arial" w:hAnsi="Arial" w:cs="Arial"/>
          <w:sz w:val="24"/>
          <w:szCs w:val="24"/>
        </w:rPr>
      </w:pPr>
      <w:r>
        <w:rPr>
          <w:rFonts w:ascii="Arial" w:hAnsi="Arial" w:cs="Arial"/>
          <w:sz w:val="24"/>
          <w:szCs w:val="24"/>
        </w:rPr>
        <w:t>Police complaint</w:t>
      </w:r>
      <w:r w:rsidR="00F00E2D">
        <w:rPr>
          <w:rFonts w:ascii="Arial" w:hAnsi="Arial" w:cs="Arial"/>
          <w:sz w:val="24"/>
          <w:szCs w:val="24"/>
        </w:rPr>
        <w:t xml:space="preserve"> </w:t>
      </w:r>
      <w:r w:rsidR="003D17AC">
        <w:rPr>
          <w:rFonts w:ascii="Arial" w:hAnsi="Arial" w:cs="Arial"/>
          <w:sz w:val="24"/>
          <w:szCs w:val="24"/>
        </w:rPr>
        <w:t>i</w:t>
      </w:r>
      <w:r w:rsidR="00F00E2D">
        <w:rPr>
          <w:rFonts w:ascii="Arial" w:hAnsi="Arial" w:cs="Arial"/>
          <w:sz w:val="24"/>
          <w:szCs w:val="24"/>
        </w:rPr>
        <w:t>nvestigations are</w:t>
      </w:r>
      <w:r w:rsidRPr="008D1581" w:rsidR="00F00E2D">
        <w:t xml:space="preserve"> </w:t>
      </w:r>
      <w:r w:rsidRPr="003D17AC" w:rsidR="003D17AC">
        <w:rPr>
          <w:rFonts w:ascii="Arial" w:hAnsi="Arial" w:cs="Arial"/>
          <w:sz w:val="24"/>
          <w:szCs w:val="24"/>
        </w:rPr>
        <w:t>undertaken</w:t>
      </w:r>
      <w:r w:rsidR="003D17AC">
        <w:t xml:space="preserve"> </w:t>
      </w:r>
      <w:r w:rsidRPr="008D1581" w:rsidR="00F00E2D">
        <w:rPr>
          <w:rFonts w:ascii="Arial" w:hAnsi="Arial" w:cs="Arial"/>
          <w:sz w:val="24"/>
          <w:szCs w:val="24"/>
        </w:rPr>
        <w:t>where it is likely that, if proven, the allegation of criminality or conduct would ju</w:t>
      </w:r>
      <w:r w:rsidR="00F00E2D">
        <w:rPr>
          <w:rFonts w:ascii="Arial" w:hAnsi="Arial" w:cs="Arial"/>
          <w:sz w:val="24"/>
          <w:szCs w:val="24"/>
        </w:rPr>
        <w:t xml:space="preserve">stify disciplinary proceedings.  </w:t>
      </w:r>
    </w:p>
    <w:p w:rsidR="00F00E2D" w:rsidP="00F00E2D" w:rsidRDefault="00F00E2D" w14:paraId="58B3D4B3" w14:textId="77777777">
      <w:pPr>
        <w:pStyle w:val="NoSpacing"/>
        <w:ind w:left="709"/>
        <w:jc w:val="both"/>
        <w:rPr>
          <w:rFonts w:ascii="Arial" w:hAnsi="Arial" w:cs="Arial"/>
          <w:sz w:val="24"/>
          <w:szCs w:val="24"/>
        </w:rPr>
      </w:pPr>
    </w:p>
    <w:tbl>
      <w:tblPr>
        <w:tblStyle w:val="TableGrid"/>
        <w:tblW w:w="8452" w:type="dxa"/>
        <w:tblInd w:w="709" w:type="dxa"/>
        <w:tblLook w:val="04A0" w:firstRow="1" w:lastRow="0" w:firstColumn="1" w:lastColumn="0" w:noHBand="0" w:noVBand="1"/>
      </w:tblPr>
      <w:tblGrid>
        <w:gridCol w:w="840"/>
        <w:gridCol w:w="542"/>
        <w:gridCol w:w="727"/>
        <w:gridCol w:w="721"/>
        <w:gridCol w:w="790"/>
        <w:gridCol w:w="790"/>
        <w:gridCol w:w="790"/>
        <w:gridCol w:w="542"/>
        <w:gridCol w:w="542"/>
        <w:gridCol w:w="542"/>
        <w:gridCol w:w="542"/>
        <w:gridCol w:w="542"/>
        <w:gridCol w:w="542"/>
      </w:tblGrid>
      <w:tr w:rsidRPr="00AF608B" w:rsidR="00D66590" w:rsidTr="00D66590" w14:paraId="749E8FE6" w14:textId="77777777">
        <w:trPr>
          <w:cantSplit/>
          <w:trHeight w:val="3676"/>
        </w:trPr>
        <w:tc>
          <w:tcPr>
            <w:tcW w:w="840" w:type="dxa"/>
            <w:textDirection w:val="btLr"/>
          </w:tcPr>
          <w:p w:rsidRPr="00AF608B" w:rsidR="00D66590" w:rsidP="00D66590" w:rsidRDefault="00D66590" w14:paraId="05F3C6E6" w14:textId="77777777">
            <w:pPr>
              <w:pStyle w:val="NoSpacing"/>
              <w:rPr>
                <w:rFonts w:ascii="Arial" w:hAnsi="Arial" w:cs="Arial"/>
                <w:sz w:val="24"/>
                <w:szCs w:val="24"/>
              </w:rPr>
            </w:pPr>
          </w:p>
        </w:tc>
        <w:tc>
          <w:tcPr>
            <w:tcW w:w="542" w:type="dxa"/>
            <w:textDirection w:val="btLr"/>
          </w:tcPr>
          <w:p w:rsidRPr="00AF608B" w:rsidR="00D66590" w:rsidP="00D66590" w:rsidRDefault="00D66590" w14:paraId="7422204C" w14:textId="5432BF8A">
            <w:pPr>
              <w:pStyle w:val="NoSpacing"/>
              <w:rPr>
                <w:rFonts w:ascii="Arial" w:hAnsi="Arial" w:cs="Arial"/>
                <w:sz w:val="24"/>
                <w:szCs w:val="24"/>
              </w:rPr>
            </w:pPr>
            <w:r>
              <w:rPr>
                <w:rFonts w:ascii="Arial" w:hAnsi="Arial" w:cs="Arial"/>
                <w:sz w:val="24"/>
                <w:szCs w:val="24"/>
              </w:rPr>
              <w:t>Investigation Recorded</w:t>
            </w:r>
          </w:p>
        </w:tc>
        <w:tc>
          <w:tcPr>
            <w:tcW w:w="727" w:type="dxa"/>
            <w:textDirection w:val="btLr"/>
          </w:tcPr>
          <w:p w:rsidRPr="00AF608B" w:rsidR="00D66590" w:rsidP="00D66590" w:rsidRDefault="00D66590" w14:paraId="6255795D" w14:textId="453A31E6">
            <w:pPr>
              <w:pStyle w:val="NoSpacing"/>
              <w:rPr>
                <w:rFonts w:ascii="Arial" w:hAnsi="Arial" w:cs="Arial"/>
                <w:sz w:val="24"/>
                <w:szCs w:val="24"/>
              </w:rPr>
            </w:pPr>
            <w:r>
              <w:rPr>
                <w:rFonts w:ascii="Arial" w:hAnsi="Arial" w:cs="Arial"/>
                <w:sz w:val="24"/>
                <w:szCs w:val="24"/>
              </w:rPr>
              <w:t xml:space="preserve">Complainant provided with Terms of Reference </w:t>
            </w:r>
          </w:p>
        </w:tc>
        <w:tc>
          <w:tcPr>
            <w:tcW w:w="721" w:type="dxa"/>
            <w:textDirection w:val="btLr"/>
          </w:tcPr>
          <w:p w:rsidRPr="00AF608B" w:rsidR="00D66590" w:rsidP="00D66590" w:rsidRDefault="00D66590" w14:paraId="72AF9E41" w14:textId="2DD200E5">
            <w:pPr>
              <w:pStyle w:val="NoSpacing"/>
              <w:rPr>
                <w:rFonts w:ascii="Arial" w:hAnsi="Arial" w:cs="Arial"/>
                <w:sz w:val="24"/>
                <w:szCs w:val="24"/>
              </w:rPr>
            </w:pPr>
            <w:r>
              <w:rPr>
                <w:rFonts w:ascii="Arial" w:hAnsi="Arial" w:cs="Arial"/>
                <w:sz w:val="24"/>
                <w:szCs w:val="24"/>
              </w:rPr>
              <w:t>Complainant was updated every 28 days</w:t>
            </w:r>
          </w:p>
        </w:tc>
        <w:tc>
          <w:tcPr>
            <w:tcW w:w="790" w:type="dxa"/>
            <w:textDirection w:val="btLr"/>
          </w:tcPr>
          <w:p w:rsidR="00D66590" w:rsidP="00D66590" w:rsidRDefault="00D66590" w14:paraId="5C3DED08" w14:textId="7E574195">
            <w:pPr>
              <w:pStyle w:val="NoSpacing"/>
              <w:rPr>
                <w:rFonts w:ascii="Arial" w:hAnsi="Arial" w:cs="Arial"/>
                <w:sz w:val="24"/>
                <w:szCs w:val="24"/>
              </w:rPr>
            </w:pPr>
            <w:r w:rsidRPr="00AF608B">
              <w:rPr>
                <w:rFonts w:ascii="Arial" w:hAnsi="Arial" w:cs="Arial"/>
                <w:sz w:val="24"/>
                <w:szCs w:val="24"/>
              </w:rPr>
              <w:t>Complainant provided with written outcome letter</w:t>
            </w:r>
          </w:p>
          <w:p w:rsidR="00D66590" w:rsidP="00D66590" w:rsidRDefault="00D66590" w14:paraId="4EBB3BA0" w14:textId="77777777">
            <w:pPr>
              <w:pStyle w:val="NoSpacing"/>
              <w:rPr>
                <w:rFonts w:ascii="Arial" w:hAnsi="Arial" w:cs="Arial"/>
                <w:sz w:val="24"/>
                <w:szCs w:val="24"/>
              </w:rPr>
            </w:pPr>
          </w:p>
          <w:p w:rsidRPr="00AF608B" w:rsidR="00D66590" w:rsidP="00D66590" w:rsidRDefault="00D66590" w14:paraId="7FEB3C4B" w14:textId="77777777">
            <w:pPr>
              <w:pStyle w:val="NoSpacing"/>
              <w:rPr>
                <w:rFonts w:ascii="Arial" w:hAnsi="Arial" w:cs="Arial"/>
                <w:sz w:val="24"/>
                <w:szCs w:val="24"/>
              </w:rPr>
            </w:pPr>
          </w:p>
        </w:tc>
        <w:tc>
          <w:tcPr>
            <w:tcW w:w="790" w:type="dxa"/>
            <w:textDirection w:val="btLr"/>
          </w:tcPr>
          <w:p w:rsidR="00D66590" w:rsidP="00D66590" w:rsidRDefault="00D66590" w14:paraId="7E74FAE9" w14:textId="7A494690">
            <w:pPr>
              <w:pStyle w:val="NoSpacing"/>
              <w:rPr>
                <w:rFonts w:ascii="Arial" w:hAnsi="Arial" w:cs="Arial"/>
                <w:sz w:val="24"/>
                <w:szCs w:val="24"/>
              </w:rPr>
            </w:pPr>
            <w:r w:rsidRPr="00AF608B">
              <w:rPr>
                <w:rFonts w:ascii="Arial" w:hAnsi="Arial" w:cs="Arial"/>
                <w:sz w:val="24"/>
                <w:szCs w:val="24"/>
              </w:rPr>
              <w:t xml:space="preserve">Complaint outcome – </w:t>
            </w:r>
            <w:r>
              <w:rPr>
                <w:rFonts w:ascii="Arial" w:hAnsi="Arial" w:cs="Arial"/>
                <w:sz w:val="24"/>
                <w:szCs w:val="24"/>
              </w:rPr>
              <w:t>acceptable</w:t>
            </w:r>
          </w:p>
          <w:p w:rsidR="00D66590" w:rsidP="00D66590" w:rsidRDefault="00D66590" w14:paraId="68CAAB9C" w14:textId="77777777">
            <w:pPr>
              <w:pStyle w:val="NoSpacing"/>
              <w:rPr>
                <w:rFonts w:ascii="Arial" w:hAnsi="Arial" w:cs="Arial"/>
                <w:sz w:val="24"/>
                <w:szCs w:val="24"/>
              </w:rPr>
            </w:pPr>
          </w:p>
          <w:p w:rsidRPr="00AF608B" w:rsidR="00D66590" w:rsidP="00D66590" w:rsidRDefault="00D66590" w14:paraId="42268053" w14:textId="77777777">
            <w:pPr>
              <w:pStyle w:val="NoSpacing"/>
              <w:rPr>
                <w:rFonts w:ascii="Arial" w:hAnsi="Arial" w:cs="Arial"/>
                <w:sz w:val="24"/>
                <w:szCs w:val="24"/>
              </w:rPr>
            </w:pPr>
          </w:p>
        </w:tc>
        <w:tc>
          <w:tcPr>
            <w:tcW w:w="790" w:type="dxa"/>
            <w:textDirection w:val="btLr"/>
          </w:tcPr>
          <w:p w:rsidR="00D66590" w:rsidP="00D66590" w:rsidRDefault="00D66590" w14:paraId="5A15C545" w14:textId="0EB40C6A">
            <w:pPr>
              <w:pStyle w:val="NoSpacing"/>
              <w:rPr>
                <w:rFonts w:ascii="Arial" w:hAnsi="Arial" w:cs="Arial"/>
                <w:sz w:val="24"/>
                <w:szCs w:val="24"/>
              </w:rPr>
            </w:pPr>
            <w:r w:rsidRPr="00AF608B">
              <w:rPr>
                <w:rFonts w:ascii="Arial" w:hAnsi="Arial" w:cs="Arial"/>
                <w:sz w:val="24"/>
                <w:szCs w:val="24"/>
              </w:rPr>
              <w:t xml:space="preserve">Complaint outcome – not </w:t>
            </w:r>
            <w:r>
              <w:rPr>
                <w:rFonts w:ascii="Arial" w:hAnsi="Arial" w:cs="Arial"/>
                <w:sz w:val="24"/>
                <w:szCs w:val="24"/>
              </w:rPr>
              <w:t>acceptable or unable to determine</w:t>
            </w:r>
          </w:p>
          <w:p w:rsidRPr="00AF608B" w:rsidR="00D66590" w:rsidP="00D66590" w:rsidRDefault="00D66590" w14:paraId="103DCF19" w14:textId="77777777">
            <w:pPr>
              <w:pStyle w:val="NoSpacing"/>
              <w:rPr>
                <w:rFonts w:ascii="Arial" w:hAnsi="Arial" w:cs="Arial"/>
                <w:sz w:val="24"/>
                <w:szCs w:val="24"/>
              </w:rPr>
            </w:pPr>
            <w:r w:rsidRPr="00AF608B">
              <w:rPr>
                <w:rFonts w:ascii="Arial" w:hAnsi="Arial" w:cs="Arial"/>
                <w:sz w:val="24"/>
                <w:szCs w:val="24"/>
              </w:rPr>
              <w:t xml:space="preserve"> </w:t>
            </w:r>
          </w:p>
        </w:tc>
        <w:tc>
          <w:tcPr>
            <w:tcW w:w="542" w:type="dxa"/>
            <w:textDirection w:val="btLr"/>
          </w:tcPr>
          <w:p w:rsidRPr="00AF608B" w:rsidR="00D66590" w:rsidP="00D66590" w:rsidRDefault="00D66590" w14:paraId="2E3E9C31" w14:textId="77777777">
            <w:pPr>
              <w:pStyle w:val="NoSpacing"/>
              <w:rPr>
                <w:rFonts w:ascii="Arial" w:hAnsi="Arial" w:cs="Arial"/>
                <w:sz w:val="24"/>
                <w:szCs w:val="24"/>
              </w:rPr>
            </w:pPr>
            <w:r w:rsidRPr="00AF608B">
              <w:rPr>
                <w:rFonts w:ascii="Arial" w:hAnsi="Arial" w:cs="Arial"/>
                <w:sz w:val="24"/>
                <w:szCs w:val="24"/>
              </w:rPr>
              <w:t>Offered right of review</w:t>
            </w:r>
          </w:p>
        </w:tc>
        <w:tc>
          <w:tcPr>
            <w:tcW w:w="542" w:type="dxa"/>
            <w:textDirection w:val="btLr"/>
          </w:tcPr>
          <w:p w:rsidRPr="00AF608B" w:rsidR="00D66590" w:rsidP="00D66590" w:rsidRDefault="00D66590" w14:paraId="32FAE0CA" w14:textId="77777777">
            <w:pPr>
              <w:pStyle w:val="NoSpacing"/>
              <w:rPr>
                <w:rFonts w:ascii="Arial" w:hAnsi="Arial" w:cs="Arial"/>
                <w:sz w:val="24"/>
                <w:szCs w:val="24"/>
              </w:rPr>
            </w:pPr>
            <w:r w:rsidRPr="00AF608B">
              <w:rPr>
                <w:rFonts w:ascii="Arial" w:hAnsi="Arial" w:cs="Arial"/>
                <w:sz w:val="24"/>
                <w:szCs w:val="24"/>
              </w:rPr>
              <w:t>Review requested</w:t>
            </w:r>
          </w:p>
        </w:tc>
        <w:tc>
          <w:tcPr>
            <w:tcW w:w="542" w:type="dxa"/>
            <w:textDirection w:val="btLr"/>
          </w:tcPr>
          <w:p w:rsidRPr="00AF608B" w:rsidR="00D66590" w:rsidP="00D66590" w:rsidRDefault="00D66590" w14:paraId="5D8E68D1" w14:textId="77777777">
            <w:pPr>
              <w:pStyle w:val="NoSpacing"/>
              <w:rPr>
                <w:rFonts w:ascii="Arial" w:hAnsi="Arial" w:cs="Arial"/>
                <w:sz w:val="24"/>
                <w:szCs w:val="24"/>
              </w:rPr>
            </w:pPr>
            <w:r w:rsidRPr="00AF608B">
              <w:rPr>
                <w:rFonts w:ascii="Arial" w:hAnsi="Arial" w:cs="Arial"/>
                <w:sz w:val="24"/>
                <w:szCs w:val="24"/>
              </w:rPr>
              <w:t>Review not upheld</w:t>
            </w:r>
          </w:p>
        </w:tc>
        <w:tc>
          <w:tcPr>
            <w:tcW w:w="542" w:type="dxa"/>
            <w:textDirection w:val="btLr"/>
          </w:tcPr>
          <w:p w:rsidRPr="00AF608B" w:rsidR="00D66590" w:rsidP="00D66590" w:rsidRDefault="00D66590" w14:paraId="3B58060C" w14:textId="77777777">
            <w:pPr>
              <w:pStyle w:val="NoSpacing"/>
              <w:rPr>
                <w:rFonts w:ascii="Arial" w:hAnsi="Arial" w:cs="Arial"/>
                <w:sz w:val="24"/>
                <w:szCs w:val="24"/>
              </w:rPr>
            </w:pPr>
            <w:r w:rsidRPr="00AF608B">
              <w:rPr>
                <w:rFonts w:ascii="Arial" w:hAnsi="Arial" w:cs="Arial"/>
                <w:sz w:val="24"/>
                <w:szCs w:val="24"/>
              </w:rPr>
              <w:t>Review upheld</w:t>
            </w:r>
          </w:p>
        </w:tc>
        <w:tc>
          <w:tcPr>
            <w:tcW w:w="542" w:type="dxa"/>
            <w:textDirection w:val="btLr"/>
          </w:tcPr>
          <w:p w:rsidRPr="00AF608B" w:rsidR="00D66590" w:rsidP="00D66590" w:rsidRDefault="00D66590" w14:paraId="3AECD852" w14:textId="77777777">
            <w:pPr>
              <w:pStyle w:val="NoSpacing"/>
              <w:rPr>
                <w:rFonts w:ascii="Arial" w:hAnsi="Arial" w:cs="Arial"/>
                <w:sz w:val="24"/>
                <w:szCs w:val="24"/>
              </w:rPr>
            </w:pPr>
            <w:r w:rsidRPr="00AF608B">
              <w:rPr>
                <w:rFonts w:ascii="Arial" w:hAnsi="Arial" w:cs="Arial"/>
                <w:sz w:val="24"/>
                <w:szCs w:val="24"/>
              </w:rPr>
              <w:t>Review ongoing</w:t>
            </w:r>
          </w:p>
        </w:tc>
        <w:tc>
          <w:tcPr>
            <w:tcW w:w="542" w:type="dxa"/>
            <w:textDirection w:val="btLr"/>
          </w:tcPr>
          <w:p w:rsidRPr="00AF608B" w:rsidR="00D66590" w:rsidP="00D66590" w:rsidRDefault="00D66590" w14:paraId="2B339316" w14:textId="77777777">
            <w:pPr>
              <w:pStyle w:val="NoSpacing"/>
              <w:rPr>
                <w:rFonts w:ascii="Arial" w:hAnsi="Arial" w:cs="Arial"/>
                <w:sz w:val="24"/>
                <w:szCs w:val="24"/>
              </w:rPr>
            </w:pPr>
            <w:r w:rsidRPr="00AF608B">
              <w:rPr>
                <w:rFonts w:ascii="Arial" w:hAnsi="Arial" w:cs="Arial"/>
                <w:sz w:val="24"/>
                <w:szCs w:val="24"/>
              </w:rPr>
              <w:t>Complaints withdrawn</w:t>
            </w:r>
          </w:p>
        </w:tc>
      </w:tr>
      <w:tr w:rsidRPr="00AF608B" w:rsidR="00D66590" w:rsidTr="00D66590" w14:paraId="023F1082" w14:textId="77777777">
        <w:trPr>
          <w:trHeight w:val="516"/>
        </w:trPr>
        <w:tc>
          <w:tcPr>
            <w:tcW w:w="840" w:type="dxa"/>
          </w:tcPr>
          <w:p w:rsidR="00D66590" w:rsidP="00D66590" w:rsidRDefault="00D66590" w14:paraId="020373C1" w14:textId="77777777">
            <w:pPr>
              <w:pStyle w:val="NoSpacing"/>
              <w:jc w:val="both"/>
              <w:rPr>
                <w:rFonts w:ascii="Arial" w:hAnsi="Arial" w:cs="Arial"/>
              </w:rPr>
            </w:pPr>
            <w:r>
              <w:rPr>
                <w:rFonts w:ascii="Arial" w:hAnsi="Arial" w:cs="Arial"/>
              </w:rPr>
              <w:t>No. of Cases</w:t>
            </w:r>
          </w:p>
        </w:tc>
        <w:tc>
          <w:tcPr>
            <w:tcW w:w="542" w:type="dxa"/>
          </w:tcPr>
          <w:p w:rsidRPr="00AF608B" w:rsidR="00D66590" w:rsidP="00D66590" w:rsidRDefault="00D66590" w14:paraId="12171BF3" w14:textId="056FF60B">
            <w:pPr>
              <w:pStyle w:val="NoSpacing"/>
              <w:jc w:val="both"/>
              <w:rPr>
                <w:rFonts w:ascii="Arial" w:hAnsi="Arial" w:cs="Arial"/>
              </w:rPr>
            </w:pPr>
            <w:r>
              <w:rPr>
                <w:rFonts w:ascii="Arial" w:hAnsi="Arial" w:cs="Arial"/>
              </w:rPr>
              <w:t>24</w:t>
            </w:r>
          </w:p>
        </w:tc>
        <w:tc>
          <w:tcPr>
            <w:tcW w:w="727" w:type="dxa"/>
          </w:tcPr>
          <w:p w:rsidR="00D66590" w:rsidP="00D66590" w:rsidRDefault="0051507C" w14:paraId="06FE1115" w14:textId="12850414">
            <w:pPr>
              <w:pStyle w:val="NoSpacing"/>
              <w:jc w:val="both"/>
              <w:rPr>
                <w:rFonts w:ascii="Arial" w:hAnsi="Arial" w:cs="Arial"/>
              </w:rPr>
            </w:pPr>
            <w:r>
              <w:rPr>
                <w:rFonts w:ascii="Arial" w:hAnsi="Arial" w:cs="Arial"/>
              </w:rPr>
              <w:t>6</w:t>
            </w:r>
          </w:p>
        </w:tc>
        <w:tc>
          <w:tcPr>
            <w:tcW w:w="721" w:type="dxa"/>
          </w:tcPr>
          <w:p w:rsidR="00D66590" w:rsidP="00D66590" w:rsidRDefault="004574B2" w14:paraId="65F212AC" w14:textId="23C8B22D">
            <w:pPr>
              <w:pStyle w:val="NoSpacing"/>
              <w:jc w:val="both"/>
              <w:rPr>
                <w:rFonts w:ascii="Arial" w:hAnsi="Arial" w:cs="Arial"/>
              </w:rPr>
            </w:pPr>
            <w:r>
              <w:rPr>
                <w:rFonts w:ascii="Arial" w:hAnsi="Arial" w:cs="Arial"/>
              </w:rPr>
              <w:t>6</w:t>
            </w:r>
          </w:p>
        </w:tc>
        <w:tc>
          <w:tcPr>
            <w:tcW w:w="790" w:type="dxa"/>
          </w:tcPr>
          <w:p w:rsidRPr="00AF608B" w:rsidR="00D66590" w:rsidP="00D66590" w:rsidRDefault="0051507C" w14:paraId="307641DC" w14:textId="27EA066B">
            <w:pPr>
              <w:pStyle w:val="NoSpacing"/>
              <w:jc w:val="both"/>
              <w:rPr>
                <w:rFonts w:ascii="Arial" w:hAnsi="Arial" w:cs="Arial"/>
              </w:rPr>
            </w:pPr>
            <w:r>
              <w:rPr>
                <w:rFonts w:ascii="Arial" w:hAnsi="Arial" w:cs="Arial"/>
              </w:rPr>
              <w:t>1</w:t>
            </w:r>
            <w:r w:rsidR="004574B2">
              <w:rPr>
                <w:rFonts w:ascii="Arial" w:hAnsi="Arial" w:cs="Arial"/>
              </w:rPr>
              <w:t>8</w:t>
            </w:r>
          </w:p>
        </w:tc>
        <w:tc>
          <w:tcPr>
            <w:tcW w:w="790" w:type="dxa"/>
          </w:tcPr>
          <w:p w:rsidRPr="00AF608B" w:rsidR="00D66590" w:rsidP="00D66590" w:rsidRDefault="00D66590" w14:paraId="225498E2" w14:textId="14C81212">
            <w:pPr>
              <w:pStyle w:val="NoSpacing"/>
              <w:jc w:val="both"/>
              <w:rPr>
                <w:rFonts w:ascii="Arial" w:hAnsi="Arial" w:cs="Arial"/>
              </w:rPr>
            </w:pPr>
            <w:r>
              <w:rPr>
                <w:rFonts w:ascii="Arial" w:hAnsi="Arial" w:cs="Arial"/>
              </w:rPr>
              <w:t>1</w:t>
            </w:r>
            <w:r w:rsidR="00176F77">
              <w:rPr>
                <w:rFonts w:ascii="Arial" w:hAnsi="Arial" w:cs="Arial"/>
              </w:rPr>
              <w:t>2</w:t>
            </w:r>
          </w:p>
        </w:tc>
        <w:tc>
          <w:tcPr>
            <w:tcW w:w="790" w:type="dxa"/>
          </w:tcPr>
          <w:p w:rsidRPr="00AF608B" w:rsidR="00D66590" w:rsidP="00D66590" w:rsidRDefault="00176F77" w14:paraId="38F4395F" w14:textId="7427DA2A">
            <w:pPr>
              <w:pStyle w:val="NoSpacing"/>
              <w:jc w:val="both"/>
              <w:rPr>
                <w:rFonts w:ascii="Arial" w:hAnsi="Arial" w:cs="Arial"/>
              </w:rPr>
            </w:pPr>
            <w:r>
              <w:rPr>
                <w:rFonts w:ascii="Arial" w:hAnsi="Arial" w:cs="Arial"/>
              </w:rPr>
              <w:t>6</w:t>
            </w:r>
          </w:p>
        </w:tc>
        <w:tc>
          <w:tcPr>
            <w:tcW w:w="542" w:type="dxa"/>
          </w:tcPr>
          <w:p w:rsidRPr="00AF608B" w:rsidR="00D66590" w:rsidP="00D66590" w:rsidRDefault="00D66590" w14:paraId="074A1F04" w14:textId="511A98EF">
            <w:pPr>
              <w:pStyle w:val="NoSpacing"/>
              <w:jc w:val="both"/>
              <w:rPr>
                <w:rFonts w:ascii="Arial" w:hAnsi="Arial" w:cs="Arial"/>
              </w:rPr>
            </w:pPr>
            <w:r>
              <w:rPr>
                <w:rFonts w:ascii="Arial" w:hAnsi="Arial" w:cs="Arial"/>
              </w:rPr>
              <w:t>1</w:t>
            </w:r>
            <w:r w:rsidR="004574B2">
              <w:rPr>
                <w:rFonts w:ascii="Arial" w:hAnsi="Arial" w:cs="Arial"/>
              </w:rPr>
              <w:t>7</w:t>
            </w:r>
          </w:p>
        </w:tc>
        <w:tc>
          <w:tcPr>
            <w:tcW w:w="542" w:type="dxa"/>
          </w:tcPr>
          <w:p w:rsidRPr="00AF608B" w:rsidR="00D66590" w:rsidP="00D66590" w:rsidRDefault="00D66590" w14:paraId="7BC14ADD" w14:textId="16793DB0">
            <w:pPr>
              <w:pStyle w:val="NoSpacing"/>
              <w:jc w:val="both"/>
              <w:rPr>
                <w:rFonts w:ascii="Arial" w:hAnsi="Arial" w:cs="Arial"/>
              </w:rPr>
            </w:pPr>
            <w:r>
              <w:rPr>
                <w:rFonts w:ascii="Arial" w:hAnsi="Arial" w:cs="Arial"/>
              </w:rPr>
              <w:t>0</w:t>
            </w:r>
          </w:p>
        </w:tc>
        <w:tc>
          <w:tcPr>
            <w:tcW w:w="542" w:type="dxa"/>
          </w:tcPr>
          <w:p w:rsidRPr="00AF608B" w:rsidR="00D66590" w:rsidP="00D66590" w:rsidRDefault="00D66590" w14:paraId="64865216" w14:textId="44404F98">
            <w:pPr>
              <w:pStyle w:val="NoSpacing"/>
              <w:jc w:val="both"/>
              <w:rPr>
                <w:rFonts w:ascii="Arial" w:hAnsi="Arial" w:cs="Arial"/>
              </w:rPr>
            </w:pPr>
            <w:r>
              <w:rPr>
                <w:rFonts w:ascii="Arial" w:hAnsi="Arial" w:cs="Arial"/>
              </w:rPr>
              <w:t>0</w:t>
            </w:r>
          </w:p>
        </w:tc>
        <w:tc>
          <w:tcPr>
            <w:tcW w:w="542" w:type="dxa"/>
          </w:tcPr>
          <w:p w:rsidRPr="00AF608B" w:rsidR="00D66590" w:rsidP="00D66590" w:rsidRDefault="00D66590" w14:paraId="21177009" w14:textId="723A5F12">
            <w:pPr>
              <w:pStyle w:val="NoSpacing"/>
              <w:jc w:val="both"/>
              <w:rPr>
                <w:rFonts w:ascii="Arial" w:hAnsi="Arial" w:cs="Arial"/>
              </w:rPr>
            </w:pPr>
            <w:r>
              <w:rPr>
                <w:rFonts w:ascii="Arial" w:hAnsi="Arial" w:cs="Arial"/>
              </w:rPr>
              <w:t>0</w:t>
            </w:r>
          </w:p>
        </w:tc>
        <w:tc>
          <w:tcPr>
            <w:tcW w:w="542" w:type="dxa"/>
          </w:tcPr>
          <w:p w:rsidRPr="00AF608B" w:rsidR="00D66590" w:rsidP="00D66590" w:rsidRDefault="00D66590" w14:paraId="62D16721" w14:textId="445E221C">
            <w:pPr>
              <w:pStyle w:val="NoSpacing"/>
              <w:jc w:val="both"/>
              <w:rPr>
                <w:rFonts w:ascii="Arial" w:hAnsi="Arial" w:cs="Arial"/>
              </w:rPr>
            </w:pPr>
            <w:r>
              <w:rPr>
                <w:rFonts w:ascii="Arial" w:hAnsi="Arial" w:cs="Arial"/>
              </w:rPr>
              <w:t>0</w:t>
            </w:r>
          </w:p>
        </w:tc>
        <w:tc>
          <w:tcPr>
            <w:tcW w:w="542" w:type="dxa"/>
          </w:tcPr>
          <w:p w:rsidRPr="00AF608B" w:rsidR="00D66590" w:rsidP="00D66590" w:rsidRDefault="0051507C" w14:paraId="1E56C7E3" w14:textId="4862B6FB">
            <w:pPr>
              <w:pStyle w:val="NoSpacing"/>
              <w:jc w:val="both"/>
              <w:rPr>
                <w:rFonts w:ascii="Arial" w:hAnsi="Arial" w:cs="Arial"/>
              </w:rPr>
            </w:pPr>
            <w:r>
              <w:rPr>
                <w:rFonts w:ascii="Arial" w:hAnsi="Arial" w:cs="Arial"/>
              </w:rPr>
              <w:t>5</w:t>
            </w:r>
          </w:p>
        </w:tc>
      </w:tr>
    </w:tbl>
    <w:p w:rsidR="0051507C" w:rsidP="00F87086" w:rsidRDefault="0051507C" w14:paraId="30E4A55A" w14:textId="77777777">
      <w:pPr>
        <w:pStyle w:val="NoSpacing"/>
        <w:jc w:val="both"/>
        <w:rPr>
          <w:rFonts w:ascii="Arial" w:hAnsi="Arial" w:cs="Arial"/>
          <w:sz w:val="24"/>
          <w:szCs w:val="24"/>
        </w:rPr>
      </w:pPr>
    </w:p>
    <w:p w:rsidR="006B02DB" w:rsidP="000E4A64" w:rsidRDefault="0051507C" w14:paraId="26B33D50" w14:textId="254A6499">
      <w:pPr>
        <w:pStyle w:val="NoSpacing"/>
        <w:numPr>
          <w:ilvl w:val="2"/>
          <w:numId w:val="7"/>
        </w:numPr>
        <w:ind w:left="1418" w:hanging="709"/>
        <w:jc w:val="both"/>
        <w:rPr>
          <w:rFonts w:ascii="Arial" w:hAnsi="Arial" w:cs="Arial"/>
          <w:sz w:val="24"/>
          <w:szCs w:val="24"/>
        </w:rPr>
      </w:pPr>
      <w:r>
        <w:rPr>
          <w:rFonts w:ascii="Arial" w:hAnsi="Arial" w:cs="Arial"/>
          <w:sz w:val="24"/>
          <w:szCs w:val="24"/>
        </w:rPr>
        <w:t>T</w:t>
      </w:r>
      <w:r w:rsidR="006B02DB">
        <w:rPr>
          <w:rFonts w:ascii="Arial" w:hAnsi="Arial" w:cs="Arial"/>
          <w:sz w:val="24"/>
          <w:szCs w:val="24"/>
        </w:rPr>
        <w:t xml:space="preserve">he reason for </w:t>
      </w:r>
      <w:r w:rsidR="003D17AC">
        <w:rPr>
          <w:rFonts w:ascii="Arial" w:hAnsi="Arial" w:cs="Arial"/>
          <w:sz w:val="24"/>
          <w:szCs w:val="24"/>
        </w:rPr>
        <w:t xml:space="preserve">the </w:t>
      </w:r>
      <w:r w:rsidR="00961004">
        <w:rPr>
          <w:rFonts w:ascii="Arial" w:hAnsi="Arial" w:cs="Arial"/>
          <w:sz w:val="24"/>
          <w:szCs w:val="24"/>
        </w:rPr>
        <w:t>f</w:t>
      </w:r>
      <w:r w:rsidR="00176F77">
        <w:rPr>
          <w:rFonts w:ascii="Arial" w:hAnsi="Arial" w:cs="Arial"/>
          <w:sz w:val="24"/>
          <w:szCs w:val="24"/>
        </w:rPr>
        <w:t>ive</w:t>
      </w:r>
      <w:r w:rsidR="006B02DB">
        <w:rPr>
          <w:rFonts w:ascii="Arial" w:hAnsi="Arial" w:cs="Arial"/>
          <w:sz w:val="24"/>
          <w:szCs w:val="24"/>
        </w:rPr>
        <w:t xml:space="preserve"> cases </w:t>
      </w:r>
      <w:r w:rsidR="003D17AC">
        <w:rPr>
          <w:rFonts w:ascii="Arial" w:hAnsi="Arial" w:cs="Arial"/>
          <w:sz w:val="24"/>
          <w:szCs w:val="24"/>
        </w:rPr>
        <w:t>that were</w:t>
      </w:r>
      <w:r w:rsidR="006B02DB">
        <w:rPr>
          <w:rFonts w:ascii="Arial" w:hAnsi="Arial" w:cs="Arial"/>
          <w:sz w:val="24"/>
          <w:szCs w:val="24"/>
        </w:rPr>
        <w:t xml:space="preserve"> withdrawn was that the complainant did not wish to continue with the complaint.</w:t>
      </w:r>
    </w:p>
    <w:p w:rsidR="003D17AC" w:rsidP="003D17AC" w:rsidRDefault="003D17AC" w14:paraId="3CFBFA9E" w14:textId="77777777">
      <w:pPr>
        <w:pStyle w:val="NoSpacing"/>
        <w:ind w:left="1418"/>
        <w:jc w:val="both"/>
        <w:rPr>
          <w:rFonts w:ascii="Arial" w:hAnsi="Arial" w:cs="Arial"/>
          <w:sz w:val="24"/>
          <w:szCs w:val="24"/>
        </w:rPr>
      </w:pPr>
    </w:p>
    <w:p w:rsidRPr="00F87086" w:rsidR="0051507C" w:rsidP="00F87086" w:rsidRDefault="00AC3F55" w14:paraId="02928BD3" w14:textId="2D0600DC">
      <w:pPr>
        <w:pStyle w:val="NoSpacing"/>
        <w:numPr>
          <w:ilvl w:val="2"/>
          <w:numId w:val="7"/>
        </w:numPr>
        <w:ind w:left="1418" w:hanging="709"/>
        <w:jc w:val="both"/>
        <w:rPr>
          <w:rFonts w:ascii="Arial" w:hAnsi="Arial" w:cs="Arial"/>
          <w:sz w:val="24"/>
          <w:szCs w:val="24"/>
        </w:rPr>
      </w:pPr>
      <w:r>
        <w:rPr>
          <w:rFonts w:ascii="Arial" w:hAnsi="Arial" w:cs="Arial"/>
          <w:sz w:val="24"/>
          <w:szCs w:val="24"/>
        </w:rPr>
        <w:t>Where complaints had been withdrawn there</w:t>
      </w:r>
      <w:r w:rsidRPr="00E939C2" w:rsidR="003D17AC">
        <w:rPr>
          <w:rFonts w:ascii="Arial" w:hAnsi="Arial" w:cs="Arial"/>
          <w:sz w:val="24"/>
          <w:szCs w:val="24"/>
        </w:rPr>
        <w:t xml:space="preserve"> was evidence that public interest test</w:t>
      </w:r>
      <w:r w:rsidR="003D17AC">
        <w:rPr>
          <w:rFonts w:ascii="Arial" w:hAnsi="Arial" w:cs="Arial"/>
          <w:sz w:val="24"/>
          <w:szCs w:val="24"/>
        </w:rPr>
        <w:t>s</w:t>
      </w:r>
      <w:r w:rsidRPr="00E939C2" w:rsidR="003D17AC">
        <w:rPr>
          <w:rFonts w:ascii="Arial" w:hAnsi="Arial" w:cs="Arial"/>
          <w:sz w:val="24"/>
          <w:szCs w:val="24"/>
        </w:rPr>
        <w:t xml:space="preserve"> had been completed and the outcome of </w:t>
      </w:r>
      <w:r w:rsidR="003D17AC">
        <w:rPr>
          <w:rFonts w:ascii="Arial" w:hAnsi="Arial" w:cs="Arial"/>
          <w:sz w:val="24"/>
          <w:szCs w:val="24"/>
        </w:rPr>
        <w:t xml:space="preserve">all was that </w:t>
      </w:r>
      <w:r w:rsidRPr="00E939C2" w:rsidR="003D17AC">
        <w:rPr>
          <w:rFonts w:ascii="Arial" w:hAnsi="Arial" w:cs="Arial"/>
          <w:sz w:val="24"/>
          <w:szCs w:val="24"/>
        </w:rPr>
        <w:t>it was not in the public interest to proceed with the complaint</w:t>
      </w:r>
      <w:r w:rsidR="00176F77">
        <w:rPr>
          <w:rFonts w:ascii="Arial" w:hAnsi="Arial" w:cs="Arial"/>
          <w:sz w:val="24"/>
          <w:szCs w:val="24"/>
        </w:rPr>
        <w:t>.</w:t>
      </w:r>
    </w:p>
    <w:p w:rsidR="009F6FBD" w:rsidP="009F6FBD" w:rsidRDefault="009F6FBD" w14:paraId="5914CBF1" w14:textId="77777777">
      <w:pPr>
        <w:pStyle w:val="NoSpacing"/>
        <w:ind w:left="1800"/>
        <w:jc w:val="both"/>
        <w:rPr>
          <w:rFonts w:ascii="Arial" w:hAnsi="Arial" w:cs="Arial"/>
          <w:sz w:val="24"/>
          <w:szCs w:val="24"/>
        </w:rPr>
      </w:pPr>
    </w:p>
    <w:p w:rsidR="00F87086" w:rsidP="00F00E2D" w:rsidRDefault="00F87086" w14:paraId="6922F387" w14:textId="77777777">
      <w:pPr>
        <w:pStyle w:val="NoSpacing"/>
        <w:ind w:left="709" w:hanging="709"/>
        <w:jc w:val="both"/>
        <w:rPr>
          <w:rFonts w:ascii="Arial" w:hAnsi="Arial" w:cs="Arial"/>
          <w:b/>
          <w:sz w:val="24"/>
          <w:szCs w:val="24"/>
        </w:rPr>
      </w:pPr>
    </w:p>
    <w:p w:rsidRPr="00F00E2D" w:rsidR="002D0DD2" w:rsidP="00F00E2D" w:rsidRDefault="00867B78" w14:paraId="23C32C23" w14:textId="53D33848">
      <w:pPr>
        <w:pStyle w:val="NoSpacing"/>
        <w:ind w:left="709" w:hanging="709"/>
        <w:jc w:val="both"/>
        <w:rPr>
          <w:rFonts w:ascii="Arial" w:hAnsi="Arial" w:cs="Arial"/>
          <w:b/>
          <w:sz w:val="24"/>
          <w:szCs w:val="24"/>
        </w:rPr>
      </w:pPr>
      <w:r>
        <w:rPr>
          <w:rFonts w:ascii="Arial" w:hAnsi="Arial" w:cs="Arial"/>
          <w:b/>
          <w:sz w:val="24"/>
          <w:szCs w:val="24"/>
        </w:rPr>
        <w:t xml:space="preserve">Dip Sample </w:t>
      </w:r>
      <w:r w:rsidRPr="00F00E2D" w:rsidR="002D0DD2">
        <w:rPr>
          <w:rFonts w:ascii="Arial" w:hAnsi="Arial" w:cs="Arial"/>
          <w:b/>
          <w:sz w:val="24"/>
          <w:szCs w:val="24"/>
        </w:rPr>
        <w:t>Findings</w:t>
      </w:r>
    </w:p>
    <w:p w:rsidR="002D0DD2" w:rsidP="002F7982" w:rsidRDefault="002D0DD2" w14:paraId="11811349" w14:textId="77777777">
      <w:pPr>
        <w:pStyle w:val="NoSpacing"/>
        <w:ind w:left="709"/>
        <w:jc w:val="both"/>
        <w:rPr>
          <w:rFonts w:ascii="Arial" w:hAnsi="Arial" w:cs="Arial"/>
          <w:sz w:val="24"/>
          <w:szCs w:val="24"/>
        </w:rPr>
      </w:pPr>
    </w:p>
    <w:p w:rsidR="009F6FBD" w:rsidP="003D17AC" w:rsidRDefault="00176F77" w14:paraId="2F75A9F2" w14:textId="6E99D693">
      <w:pPr>
        <w:pStyle w:val="NoSpacing"/>
        <w:numPr>
          <w:ilvl w:val="1"/>
          <w:numId w:val="7"/>
        </w:numPr>
        <w:ind w:left="709" w:hanging="709"/>
        <w:jc w:val="both"/>
        <w:rPr>
          <w:rFonts w:ascii="Arial" w:hAnsi="Arial" w:cs="Arial"/>
          <w:sz w:val="24"/>
          <w:szCs w:val="24"/>
        </w:rPr>
      </w:pPr>
      <w:r>
        <w:rPr>
          <w:rFonts w:ascii="Arial" w:hAnsi="Arial" w:cs="Arial"/>
          <w:sz w:val="24"/>
          <w:szCs w:val="24"/>
        </w:rPr>
        <w:t>T</w:t>
      </w:r>
      <w:r w:rsidR="003D17AC">
        <w:rPr>
          <w:rFonts w:ascii="Arial" w:hAnsi="Arial" w:cs="Arial"/>
          <w:sz w:val="24"/>
          <w:szCs w:val="24"/>
        </w:rPr>
        <w:t>he following findings were noted:</w:t>
      </w:r>
    </w:p>
    <w:p w:rsidR="009F6FBD" w:rsidP="003D17AC" w:rsidRDefault="009F6FBD" w14:paraId="7D73436C" w14:textId="77777777">
      <w:pPr>
        <w:pStyle w:val="NoSpacing"/>
        <w:ind w:left="1134" w:hanging="425"/>
        <w:jc w:val="both"/>
        <w:rPr>
          <w:rFonts w:ascii="Arial" w:hAnsi="Arial" w:cs="Arial"/>
          <w:sz w:val="24"/>
          <w:szCs w:val="24"/>
        </w:rPr>
      </w:pPr>
    </w:p>
    <w:p w:rsidR="00F87086" w:rsidP="00F87086" w:rsidRDefault="00352128" w14:paraId="774C7D23" w14:textId="77E9933F">
      <w:pPr>
        <w:pStyle w:val="NoSpacing"/>
        <w:numPr>
          <w:ilvl w:val="2"/>
          <w:numId w:val="23"/>
        </w:numPr>
        <w:ind w:left="1134" w:hanging="425"/>
        <w:jc w:val="both"/>
        <w:rPr>
          <w:rFonts w:ascii="Arial" w:hAnsi="Arial" w:cs="Arial"/>
          <w:sz w:val="24"/>
          <w:szCs w:val="24"/>
        </w:rPr>
      </w:pPr>
      <w:r>
        <w:rPr>
          <w:rFonts w:ascii="Arial" w:hAnsi="Arial" w:cs="Arial"/>
          <w:sz w:val="24"/>
          <w:szCs w:val="24"/>
        </w:rPr>
        <w:t>Three</w:t>
      </w:r>
      <w:r w:rsidR="003D17AC">
        <w:rPr>
          <w:rFonts w:ascii="Arial" w:hAnsi="Arial" w:cs="Arial"/>
          <w:sz w:val="24"/>
          <w:szCs w:val="24"/>
        </w:rPr>
        <w:t xml:space="preserve"> </w:t>
      </w:r>
      <w:r w:rsidR="007C6807">
        <w:rPr>
          <w:rFonts w:ascii="Arial" w:hAnsi="Arial" w:cs="Arial"/>
          <w:sz w:val="24"/>
          <w:szCs w:val="24"/>
        </w:rPr>
        <w:t xml:space="preserve">initial </w:t>
      </w:r>
      <w:r w:rsidR="006C07E3">
        <w:rPr>
          <w:rFonts w:ascii="Arial" w:hAnsi="Arial" w:cs="Arial"/>
          <w:sz w:val="24"/>
          <w:szCs w:val="24"/>
        </w:rPr>
        <w:t>assessment</w:t>
      </w:r>
      <w:r w:rsidR="009F6FBD">
        <w:rPr>
          <w:rFonts w:ascii="Arial" w:hAnsi="Arial" w:cs="Arial"/>
          <w:sz w:val="24"/>
          <w:szCs w:val="24"/>
        </w:rPr>
        <w:t>s could not be locate</w:t>
      </w:r>
      <w:r w:rsidR="00176F77">
        <w:rPr>
          <w:rFonts w:ascii="Arial" w:hAnsi="Arial" w:cs="Arial"/>
          <w:sz w:val="24"/>
          <w:szCs w:val="24"/>
        </w:rPr>
        <w:t xml:space="preserve">d.  </w:t>
      </w:r>
    </w:p>
    <w:p w:rsidR="00F87086" w:rsidP="00F87086" w:rsidRDefault="00F87086" w14:paraId="7DD42F7C" w14:textId="77777777">
      <w:pPr>
        <w:pStyle w:val="NoSpacing"/>
        <w:numPr>
          <w:ilvl w:val="2"/>
          <w:numId w:val="23"/>
        </w:numPr>
        <w:ind w:left="1134" w:hanging="425"/>
        <w:jc w:val="both"/>
        <w:rPr>
          <w:rFonts w:ascii="Arial" w:hAnsi="Arial" w:cs="Arial"/>
          <w:sz w:val="24"/>
          <w:szCs w:val="24"/>
        </w:rPr>
      </w:pPr>
      <w:r w:rsidRPr="00F87086">
        <w:rPr>
          <w:rFonts w:ascii="Arial" w:hAnsi="Arial" w:cs="Arial"/>
          <w:sz w:val="24"/>
          <w:szCs w:val="24"/>
        </w:rPr>
        <w:t>One complainant was not provided with an outcome letter.</w:t>
      </w:r>
    </w:p>
    <w:p w:rsidRPr="00F87086" w:rsidR="00F87086" w:rsidP="00F87086" w:rsidRDefault="00F87086" w14:paraId="6B8EE8B3" w14:textId="3AF255D9">
      <w:pPr>
        <w:pStyle w:val="NoSpacing"/>
        <w:numPr>
          <w:ilvl w:val="2"/>
          <w:numId w:val="23"/>
        </w:numPr>
        <w:ind w:left="1134" w:hanging="425"/>
        <w:jc w:val="both"/>
        <w:rPr>
          <w:rFonts w:ascii="Arial" w:hAnsi="Arial" w:cs="Arial"/>
          <w:sz w:val="24"/>
          <w:szCs w:val="24"/>
        </w:rPr>
      </w:pPr>
      <w:r w:rsidRPr="00F87086">
        <w:rPr>
          <w:rFonts w:ascii="Arial" w:hAnsi="Arial" w:cs="Arial"/>
          <w:sz w:val="24"/>
          <w:szCs w:val="24"/>
        </w:rPr>
        <w:t>Two complainants were not provided with a right of review.</w:t>
      </w:r>
    </w:p>
    <w:p w:rsidRPr="00352128" w:rsidR="00E84B2E" w:rsidP="00352128" w:rsidRDefault="00E84B2E" w14:paraId="09904251" w14:textId="0DE0BF00">
      <w:pPr>
        <w:pStyle w:val="NoSpacing"/>
        <w:numPr>
          <w:ilvl w:val="2"/>
          <w:numId w:val="23"/>
        </w:numPr>
        <w:ind w:left="1134" w:hanging="425"/>
        <w:jc w:val="both"/>
        <w:rPr>
          <w:rFonts w:ascii="Arial" w:hAnsi="Arial" w:cs="Arial"/>
          <w:sz w:val="24"/>
          <w:szCs w:val="24"/>
        </w:rPr>
      </w:pPr>
      <w:r w:rsidRPr="00352128">
        <w:rPr>
          <w:rFonts w:ascii="Arial" w:hAnsi="Arial" w:cs="Arial"/>
          <w:sz w:val="24"/>
          <w:szCs w:val="24"/>
        </w:rPr>
        <w:t xml:space="preserve">Terms of reference and </w:t>
      </w:r>
      <w:proofErr w:type="gramStart"/>
      <w:r w:rsidRPr="00352128">
        <w:rPr>
          <w:rFonts w:ascii="Arial" w:hAnsi="Arial" w:cs="Arial"/>
          <w:sz w:val="24"/>
          <w:szCs w:val="24"/>
        </w:rPr>
        <w:t>28 day</w:t>
      </w:r>
      <w:proofErr w:type="gramEnd"/>
      <w:r w:rsidRPr="00352128">
        <w:rPr>
          <w:rFonts w:ascii="Arial" w:hAnsi="Arial" w:cs="Arial"/>
          <w:sz w:val="24"/>
          <w:szCs w:val="24"/>
        </w:rPr>
        <w:t xml:space="preserve"> update letter</w:t>
      </w:r>
      <w:r w:rsidRPr="00352128" w:rsidR="00D66590">
        <w:rPr>
          <w:rFonts w:ascii="Arial" w:hAnsi="Arial" w:cs="Arial"/>
          <w:sz w:val="24"/>
          <w:szCs w:val="24"/>
        </w:rPr>
        <w:t>s</w:t>
      </w:r>
      <w:r w:rsidRPr="00352128">
        <w:rPr>
          <w:rFonts w:ascii="Arial" w:hAnsi="Arial" w:cs="Arial"/>
          <w:sz w:val="24"/>
          <w:szCs w:val="24"/>
        </w:rPr>
        <w:t xml:space="preserve"> do not appear to be being sent to complainants consistently.</w:t>
      </w:r>
    </w:p>
    <w:p w:rsidR="003D17AC" w:rsidP="003D17AC" w:rsidRDefault="003D17AC" w14:paraId="25880902" w14:textId="4B457E08">
      <w:pPr>
        <w:pStyle w:val="NoSpacing"/>
        <w:numPr>
          <w:ilvl w:val="2"/>
          <w:numId w:val="23"/>
        </w:numPr>
        <w:ind w:left="1134" w:hanging="425"/>
        <w:jc w:val="both"/>
        <w:rPr>
          <w:rFonts w:ascii="Arial" w:hAnsi="Arial" w:cs="Arial"/>
          <w:sz w:val="24"/>
          <w:szCs w:val="24"/>
        </w:rPr>
      </w:pPr>
      <w:r>
        <w:rPr>
          <w:rFonts w:ascii="Arial" w:hAnsi="Arial" w:cs="Arial"/>
          <w:sz w:val="24"/>
          <w:szCs w:val="24"/>
        </w:rPr>
        <w:t xml:space="preserve">The average time taken for PSD (Professional Standards Directorate) to record a complaint was </w:t>
      </w:r>
      <w:r w:rsidR="00F87086">
        <w:rPr>
          <w:rFonts w:ascii="Arial" w:hAnsi="Arial" w:cs="Arial"/>
          <w:sz w:val="24"/>
          <w:szCs w:val="24"/>
        </w:rPr>
        <w:t>3.9</w:t>
      </w:r>
      <w:r w:rsidR="004E72D1">
        <w:rPr>
          <w:rFonts w:ascii="Arial" w:hAnsi="Arial" w:cs="Arial"/>
          <w:sz w:val="24"/>
          <w:szCs w:val="24"/>
        </w:rPr>
        <w:t xml:space="preserve"> </w:t>
      </w:r>
      <w:r w:rsidRPr="00402BB6">
        <w:rPr>
          <w:rFonts w:ascii="Arial" w:hAnsi="Arial" w:cs="Arial"/>
          <w:sz w:val="24"/>
          <w:szCs w:val="24"/>
        </w:rPr>
        <w:t>days.</w:t>
      </w:r>
    </w:p>
    <w:p w:rsidR="003D17AC" w:rsidP="003D17AC" w:rsidRDefault="003D17AC" w14:paraId="7212B1B8" w14:textId="54FD4C1B">
      <w:pPr>
        <w:pStyle w:val="NoSpacing"/>
        <w:numPr>
          <w:ilvl w:val="2"/>
          <w:numId w:val="23"/>
        </w:numPr>
        <w:ind w:left="1134" w:hanging="425"/>
        <w:jc w:val="both"/>
        <w:rPr>
          <w:rFonts w:ascii="Arial" w:hAnsi="Arial" w:cs="Arial"/>
          <w:sz w:val="24"/>
          <w:szCs w:val="24"/>
        </w:rPr>
      </w:pPr>
      <w:r w:rsidRPr="00402BB6">
        <w:rPr>
          <w:rFonts w:ascii="Arial" w:hAnsi="Arial" w:cs="Arial"/>
          <w:sz w:val="24"/>
          <w:szCs w:val="24"/>
        </w:rPr>
        <w:t xml:space="preserve">The average case time taken for PSD (Professional Standards Directorate) to resolve a complaint otherwise than by investigation is </w:t>
      </w:r>
      <w:r w:rsidR="00AC3183">
        <w:rPr>
          <w:rFonts w:ascii="Arial" w:hAnsi="Arial" w:cs="Arial"/>
          <w:sz w:val="24"/>
          <w:szCs w:val="24"/>
        </w:rPr>
        <w:t>51</w:t>
      </w:r>
      <w:r w:rsidRPr="00402BB6">
        <w:rPr>
          <w:rFonts w:ascii="Arial" w:hAnsi="Arial" w:cs="Arial"/>
          <w:sz w:val="24"/>
          <w:szCs w:val="24"/>
        </w:rPr>
        <w:t xml:space="preserve"> days.</w:t>
      </w:r>
    </w:p>
    <w:p w:rsidR="003D17AC" w:rsidP="003D17AC" w:rsidRDefault="003D17AC" w14:paraId="0029C766" w14:textId="51E3F010">
      <w:pPr>
        <w:pStyle w:val="NoSpacing"/>
        <w:numPr>
          <w:ilvl w:val="2"/>
          <w:numId w:val="23"/>
        </w:numPr>
        <w:ind w:left="1134" w:hanging="425"/>
        <w:jc w:val="both"/>
        <w:rPr>
          <w:rFonts w:ascii="Arial" w:hAnsi="Arial" w:cs="Arial"/>
          <w:sz w:val="24"/>
          <w:szCs w:val="24"/>
        </w:rPr>
      </w:pPr>
      <w:r w:rsidRPr="003D17AC">
        <w:rPr>
          <w:rFonts w:ascii="Arial" w:hAnsi="Arial" w:cs="Arial"/>
          <w:sz w:val="24"/>
          <w:szCs w:val="24"/>
        </w:rPr>
        <w:t xml:space="preserve">The average case time taken for PSD (Professional Standards Directorate) to resolve a complaint handled by investigation is </w:t>
      </w:r>
      <w:r w:rsidR="00F87086">
        <w:rPr>
          <w:rFonts w:ascii="Arial" w:hAnsi="Arial" w:cs="Arial"/>
          <w:sz w:val="24"/>
          <w:szCs w:val="24"/>
        </w:rPr>
        <w:t>4</w:t>
      </w:r>
      <w:r w:rsidR="00176F77">
        <w:rPr>
          <w:rFonts w:ascii="Arial" w:hAnsi="Arial" w:cs="Arial"/>
          <w:sz w:val="24"/>
          <w:szCs w:val="24"/>
        </w:rPr>
        <w:t>6</w:t>
      </w:r>
      <w:r w:rsidRPr="003D17AC">
        <w:rPr>
          <w:rFonts w:ascii="Arial" w:hAnsi="Arial" w:cs="Arial"/>
          <w:sz w:val="24"/>
          <w:szCs w:val="24"/>
        </w:rPr>
        <w:t xml:space="preserve"> days.</w:t>
      </w:r>
    </w:p>
    <w:p w:rsidR="003D17AC" w:rsidP="003D17AC" w:rsidRDefault="00BD7883" w14:paraId="31FA49A8" w14:textId="514E559C">
      <w:pPr>
        <w:pStyle w:val="NoSpacing"/>
        <w:numPr>
          <w:ilvl w:val="2"/>
          <w:numId w:val="23"/>
        </w:numPr>
        <w:ind w:left="1134" w:hanging="425"/>
        <w:jc w:val="both"/>
        <w:rPr>
          <w:rFonts w:ascii="Arial" w:hAnsi="Arial" w:cs="Arial"/>
          <w:sz w:val="24"/>
          <w:szCs w:val="24"/>
        </w:rPr>
      </w:pPr>
      <w:r>
        <w:rPr>
          <w:rFonts w:ascii="Arial" w:hAnsi="Arial" w:cs="Arial"/>
          <w:sz w:val="24"/>
          <w:szCs w:val="24"/>
        </w:rPr>
        <w:t>26</w:t>
      </w:r>
      <w:r w:rsidRPr="003D17AC" w:rsidR="009E4183">
        <w:rPr>
          <w:rFonts w:ascii="Arial" w:hAnsi="Arial" w:cs="Arial"/>
          <w:sz w:val="24"/>
          <w:szCs w:val="24"/>
        </w:rPr>
        <w:t xml:space="preserve"> (</w:t>
      </w:r>
      <w:r>
        <w:rPr>
          <w:rFonts w:ascii="Arial" w:hAnsi="Arial" w:cs="Arial"/>
          <w:sz w:val="24"/>
          <w:szCs w:val="24"/>
        </w:rPr>
        <w:t>37</w:t>
      </w:r>
      <w:r w:rsidRPr="003D17AC" w:rsidR="002D0BA9">
        <w:rPr>
          <w:rFonts w:ascii="Arial" w:hAnsi="Arial" w:cs="Arial"/>
          <w:sz w:val="24"/>
          <w:szCs w:val="24"/>
        </w:rPr>
        <w:t>%</w:t>
      </w:r>
      <w:r w:rsidRPr="003D17AC" w:rsidR="009E4183">
        <w:rPr>
          <w:rFonts w:ascii="Arial" w:hAnsi="Arial" w:cs="Arial"/>
          <w:sz w:val="24"/>
          <w:szCs w:val="24"/>
        </w:rPr>
        <w:t>)</w:t>
      </w:r>
      <w:r w:rsidRPr="003D17AC" w:rsidR="002D0BA9">
        <w:rPr>
          <w:rFonts w:ascii="Arial" w:hAnsi="Arial" w:cs="Arial"/>
          <w:sz w:val="24"/>
          <w:szCs w:val="24"/>
        </w:rPr>
        <w:t xml:space="preserve"> of the complaints sampled were concerning complaint </w:t>
      </w:r>
      <w:r w:rsidRPr="003D17AC" w:rsidR="009F6FBD">
        <w:rPr>
          <w:rFonts w:ascii="Arial" w:hAnsi="Arial" w:cs="Arial"/>
          <w:sz w:val="24"/>
          <w:szCs w:val="24"/>
        </w:rPr>
        <w:t xml:space="preserve">factor </w:t>
      </w:r>
      <w:r>
        <w:rPr>
          <w:rFonts w:ascii="Arial" w:hAnsi="Arial" w:cs="Arial"/>
          <w:sz w:val="24"/>
          <w:szCs w:val="24"/>
        </w:rPr>
        <w:t xml:space="preserve">A1 Police action following contact.  </w:t>
      </w:r>
    </w:p>
    <w:p w:rsidRPr="003D17AC" w:rsidR="009F6FBD" w:rsidP="003D17AC" w:rsidRDefault="00BD7883" w14:paraId="2E67E467" w14:textId="6E218285">
      <w:pPr>
        <w:pStyle w:val="NoSpacing"/>
        <w:numPr>
          <w:ilvl w:val="2"/>
          <w:numId w:val="23"/>
        </w:numPr>
        <w:ind w:left="1134" w:hanging="425"/>
        <w:jc w:val="both"/>
        <w:rPr>
          <w:rFonts w:ascii="Arial" w:hAnsi="Arial" w:cs="Arial"/>
          <w:sz w:val="24"/>
          <w:szCs w:val="24"/>
        </w:rPr>
      </w:pPr>
      <w:r>
        <w:rPr>
          <w:rFonts w:ascii="Arial" w:hAnsi="Arial" w:cs="Arial"/>
          <w:sz w:val="24"/>
          <w:szCs w:val="24"/>
        </w:rPr>
        <w:t>9</w:t>
      </w:r>
      <w:r w:rsidRPr="003D17AC" w:rsidR="00A60247">
        <w:rPr>
          <w:rFonts w:ascii="Arial" w:hAnsi="Arial" w:cs="Arial"/>
          <w:sz w:val="24"/>
          <w:szCs w:val="24"/>
        </w:rPr>
        <w:t xml:space="preserve"> (</w:t>
      </w:r>
      <w:r>
        <w:rPr>
          <w:rFonts w:ascii="Arial" w:hAnsi="Arial" w:cs="Arial"/>
          <w:sz w:val="24"/>
          <w:szCs w:val="24"/>
        </w:rPr>
        <w:t>13</w:t>
      </w:r>
      <w:r w:rsidRPr="003D17AC" w:rsidR="00A60247">
        <w:rPr>
          <w:rFonts w:ascii="Arial" w:hAnsi="Arial" w:cs="Arial"/>
          <w:sz w:val="24"/>
          <w:szCs w:val="24"/>
        </w:rPr>
        <w:t xml:space="preserve">%) of the complaints sampled were concerning complaint factor </w:t>
      </w:r>
      <w:r>
        <w:rPr>
          <w:rFonts w:ascii="Arial" w:hAnsi="Arial" w:cs="Arial"/>
          <w:sz w:val="24"/>
          <w:szCs w:val="24"/>
        </w:rPr>
        <w:t xml:space="preserve">B4 Use of force.  </w:t>
      </w:r>
    </w:p>
    <w:p w:rsidRPr="00E939C2" w:rsidR="00991EC0" w:rsidP="00991EC0" w:rsidRDefault="00991EC0" w14:paraId="697653B7" w14:textId="77777777">
      <w:pPr>
        <w:pStyle w:val="NoSpacing"/>
        <w:jc w:val="both"/>
        <w:rPr>
          <w:rFonts w:ascii="Arial" w:hAnsi="Arial" w:cs="Arial"/>
          <w:sz w:val="24"/>
          <w:szCs w:val="24"/>
        </w:rPr>
      </w:pPr>
    </w:p>
    <w:p w:rsidRPr="003D17AC" w:rsidR="006345C4" w:rsidP="003D17AC" w:rsidRDefault="00011143" w14:paraId="7B7676D5" w14:textId="5C6DF2DD">
      <w:pPr>
        <w:pStyle w:val="NoSpacing"/>
        <w:numPr>
          <w:ilvl w:val="1"/>
          <w:numId w:val="7"/>
        </w:numPr>
        <w:ind w:left="284"/>
        <w:jc w:val="both"/>
        <w:rPr>
          <w:rFonts w:ascii="Arial" w:hAnsi="Arial" w:cs="Arial"/>
          <w:bCs/>
          <w:sz w:val="24"/>
          <w:szCs w:val="24"/>
        </w:rPr>
      </w:pPr>
      <w:r w:rsidRPr="003D17AC">
        <w:rPr>
          <w:rFonts w:ascii="Arial" w:hAnsi="Arial" w:cs="Arial"/>
          <w:bCs/>
          <w:sz w:val="24"/>
          <w:szCs w:val="24"/>
        </w:rPr>
        <w:t>Observations</w:t>
      </w:r>
      <w:r w:rsidRPr="003D17AC" w:rsidR="00E606C9">
        <w:rPr>
          <w:rFonts w:ascii="Arial" w:hAnsi="Arial" w:cs="Arial"/>
          <w:bCs/>
          <w:sz w:val="24"/>
          <w:szCs w:val="24"/>
        </w:rPr>
        <w:t xml:space="preserve"> since the last dip sample</w:t>
      </w:r>
      <w:r w:rsidR="003D17AC">
        <w:rPr>
          <w:rFonts w:ascii="Arial" w:hAnsi="Arial" w:cs="Arial"/>
          <w:bCs/>
          <w:sz w:val="24"/>
          <w:szCs w:val="24"/>
        </w:rPr>
        <w:t xml:space="preserve"> include:</w:t>
      </w:r>
    </w:p>
    <w:p w:rsidR="00573E42" w:rsidP="00573E42" w:rsidRDefault="00573E42" w14:paraId="0AB9C40A" w14:textId="77777777">
      <w:pPr>
        <w:pStyle w:val="NoSpacing"/>
        <w:jc w:val="both"/>
        <w:rPr>
          <w:rFonts w:ascii="Arial" w:hAnsi="Arial" w:cs="Arial"/>
          <w:b/>
          <w:sz w:val="24"/>
          <w:szCs w:val="24"/>
        </w:rPr>
      </w:pPr>
      <w:r>
        <w:rPr>
          <w:rFonts w:ascii="Arial" w:hAnsi="Arial" w:cs="Arial"/>
          <w:b/>
          <w:sz w:val="24"/>
          <w:szCs w:val="24"/>
        </w:rPr>
        <w:tab/>
      </w:r>
    </w:p>
    <w:p w:rsidR="00573E42" w:rsidP="003D17AC" w:rsidRDefault="00573E42" w14:paraId="13A27473" w14:textId="11E401D9">
      <w:pPr>
        <w:pStyle w:val="NoSpacing"/>
        <w:numPr>
          <w:ilvl w:val="0"/>
          <w:numId w:val="29"/>
        </w:numPr>
        <w:ind w:left="1134"/>
        <w:jc w:val="both"/>
        <w:rPr>
          <w:rFonts w:ascii="Arial" w:hAnsi="Arial" w:cs="Arial"/>
          <w:sz w:val="24"/>
          <w:szCs w:val="24"/>
        </w:rPr>
      </w:pPr>
      <w:r w:rsidRPr="00573E42">
        <w:rPr>
          <w:rFonts w:ascii="Arial" w:hAnsi="Arial" w:cs="Arial"/>
          <w:sz w:val="24"/>
          <w:szCs w:val="24"/>
        </w:rPr>
        <w:t>The</w:t>
      </w:r>
      <w:r>
        <w:rPr>
          <w:rFonts w:ascii="Arial" w:hAnsi="Arial" w:cs="Arial"/>
          <w:sz w:val="24"/>
          <w:szCs w:val="24"/>
        </w:rPr>
        <w:t xml:space="preserve"> average </w:t>
      </w:r>
      <w:r w:rsidR="00E606C9">
        <w:rPr>
          <w:rFonts w:ascii="Arial" w:hAnsi="Arial" w:cs="Arial"/>
          <w:sz w:val="24"/>
          <w:szCs w:val="24"/>
        </w:rPr>
        <w:t>time taken to record a complaint has</w:t>
      </w:r>
      <w:r w:rsidR="00BE0B11">
        <w:rPr>
          <w:rFonts w:ascii="Arial" w:hAnsi="Arial" w:cs="Arial"/>
          <w:sz w:val="24"/>
          <w:szCs w:val="24"/>
        </w:rPr>
        <w:t xml:space="preserve"> decreased from 4.</w:t>
      </w:r>
      <w:r w:rsidR="00BD7883">
        <w:rPr>
          <w:rFonts w:ascii="Arial" w:hAnsi="Arial" w:cs="Arial"/>
          <w:sz w:val="24"/>
          <w:szCs w:val="24"/>
        </w:rPr>
        <w:t>4</w:t>
      </w:r>
      <w:r w:rsidR="00BE0B11">
        <w:rPr>
          <w:rFonts w:ascii="Arial" w:hAnsi="Arial" w:cs="Arial"/>
          <w:sz w:val="24"/>
          <w:szCs w:val="24"/>
        </w:rPr>
        <w:t xml:space="preserve"> days to </w:t>
      </w:r>
      <w:r w:rsidR="00F87086">
        <w:rPr>
          <w:rFonts w:ascii="Arial" w:hAnsi="Arial" w:cs="Arial"/>
          <w:sz w:val="24"/>
          <w:szCs w:val="24"/>
        </w:rPr>
        <w:t>3.9</w:t>
      </w:r>
      <w:r w:rsidR="00E606C9">
        <w:rPr>
          <w:rFonts w:ascii="Arial" w:hAnsi="Arial" w:cs="Arial"/>
          <w:sz w:val="24"/>
          <w:szCs w:val="24"/>
        </w:rPr>
        <w:t>.</w:t>
      </w:r>
    </w:p>
    <w:p w:rsidR="00E606C9" w:rsidP="003D17AC" w:rsidRDefault="005B28B5" w14:paraId="67D15381" w14:textId="499EDC60">
      <w:pPr>
        <w:pStyle w:val="NoSpacing"/>
        <w:numPr>
          <w:ilvl w:val="0"/>
          <w:numId w:val="29"/>
        </w:numPr>
        <w:ind w:left="1134"/>
        <w:jc w:val="both"/>
        <w:rPr>
          <w:rFonts w:ascii="Arial" w:hAnsi="Arial" w:cs="Arial"/>
          <w:sz w:val="24"/>
          <w:szCs w:val="24"/>
        </w:rPr>
      </w:pPr>
      <w:r>
        <w:rPr>
          <w:rFonts w:ascii="Arial" w:hAnsi="Arial" w:cs="Arial"/>
          <w:sz w:val="24"/>
          <w:szCs w:val="24"/>
        </w:rPr>
        <w:t xml:space="preserve">The average case time </w:t>
      </w:r>
      <w:r w:rsidRPr="00E606C9" w:rsidR="00E606C9">
        <w:rPr>
          <w:rFonts w:ascii="Arial" w:hAnsi="Arial" w:cs="Arial"/>
          <w:sz w:val="24"/>
          <w:szCs w:val="24"/>
        </w:rPr>
        <w:t>to resolve a complaint oth</w:t>
      </w:r>
      <w:r w:rsidR="00E606C9">
        <w:rPr>
          <w:rFonts w:ascii="Arial" w:hAnsi="Arial" w:cs="Arial"/>
          <w:sz w:val="24"/>
          <w:szCs w:val="24"/>
        </w:rPr>
        <w:t xml:space="preserve">erwise than by investigation has </w:t>
      </w:r>
      <w:r w:rsidR="00BD7883">
        <w:rPr>
          <w:rFonts w:ascii="Arial" w:hAnsi="Arial" w:cs="Arial"/>
          <w:sz w:val="24"/>
          <w:szCs w:val="24"/>
        </w:rPr>
        <w:t>de</w:t>
      </w:r>
      <w:r w:rsidR="00E606C9">
        <w:rPr>
          <w:rFonts w:ascii="Arial" w:hAnsi="Arial" w:cs="Arial"/>
          <w:sz w:val="24"/>
          <w:szCs w:val="24"/>
        </w:rPr>
        <w:t xml:space="preserve">creased </w:t>
      </w:r>
      <w:r w:rsidR="00BE0B11">
        <w:rPr>
          <w:rFonts w:ascii="Arial" w:hAnsi="Arial" w:cs="Arial"/>
          <w:sz w:val="24"/>
          <w:szCs w:val="24"/>
        </w:rPr>
        <w:t>96</w:t>
      </w:r>
      <w:r w:rsidR="00402BB6">
        <w:rPr>
          <w:rFonts w:ascii="Arial" w:hAnsi="Arial" w:cs="Arial"/>
          <w:sz w:val="24"/>
          <w:szCs w:val="24"/>
        </w:rPr>
        <w:t xml:space="preserve"> </w:t>
      </w:r>
      <w:r w:rsidRPr="00E606C9" w:rsidR="00E606C9">
        <w:rPr>
          <w:rFonts w:ascii="Arial" w:hAnsi="Arial" w:cs="Arial"/>
          <w:sz w:val="24"/>
          <w:szCs w:val="24"/>
        </w:rPr>
        <w:t>days</w:t>
      </w:r>
      <w:r w:rsidR="00BD7883">
        <w:rPr>
          <w:rFonts w:ascii="Arial" w:hAnsi="Arial" w:cs="Arial"/>
          <w:sz w:val="24"/>
          <w:szCs w:val="24"/>
        </w:rPr>
        <w:t xml:space="preserve"> to 51 days.  </w:t>
      </w:r>
    </w:p>
    <w:p w:rsidR="00E606C9" w:rsidP="003D17AC" w:rsidRDefault="005B28B5" w14:paraId="64646DCE" w14:textId="1FDC3F6A">
      <w:pPr>
        <w:pStyle w:val="NoSpacing"/>
        <w:numPr>
          <w:ilvl w:val="0"/>
          <w:numId w:val="29"/>
        </w:numPr>
        <w:ind w:left="1134"/>
        <w:jc w:val="both"/>
        <w:rPr>
          <w:rFonts w:ascii="Arial" w:hAnsi="Arial" w:cs="Arial"/>
          <w:sz w:val="24"/>
          <w:szCs w:val="24"/>
        </w:rPr>
      </w:pPr>
      <w:r>
        <w:rPr>
          <w:rFonts w:ascii="Arial" w:hAnsi="Arial" w:cs="Arial"/>
          <w:sz w:val="24"/>
          <w:szCs w:val="24"/>
        </w:rPr>
        <w:t>The average case time</w:t>
      </w:r>
      <w:r w:rsidRPr="00E606C9" w:rsidR="00E606C9">
        <w:rPr>
          <w:rFonts w:ascii="Arial" w:hAnsi="Arial" w:cs="Arial"/>
          <w:sz w:val="24"/>
          <w:szCs w:val="24"/>
        </w:rPr>
        <w:t xml:space="preserve"> to resolve a </w:t>
      </w:r>
      <w:r w:rsidR="00E606C9">
        <w:rPr>
          <w:rFonts w:ascii="Arial" w:hAnsi="Arial" w:cs="Arial"/>
          <w:sz w:val="24"/>
          <w:szCs w:val="24"/>
        </w:rPr>
        <w:t xml:space="preserve">handled by investigation has </w:t>
      </w:r>
      <w:r w:rsidR="00BD7883">
        <w:rPr>
          <w:rFonts w:ascii="Arial" w:hAnsi="Arial" w:cs="Arial"/>
          <w:sz w:val="24"/>
          <w:szCs w:val="24"/>
        </w:rPr>
        <w:t>in</w:t>
      </w:r>
      <w:r w:rsidR="00E606C9">
        <w:rPr>
          <w:rFonts w:ascii="Arial" w:hAnsi="Arial" w:cs="Arial"/>
          <w:sz w:val="24"/>
          <w:szCs w:val="24"/>
        </w:rPr>
        <w:t>creased from 29 days</w:t>
      </w:r>
      <w:r w:rsidR="00BD7883">
        <w:rPr>
          <w:rFonts w:ascii="Arial" w:hAnsi="Arial" w:cs="Arial"/>
          <w:sz w:val="24"/>
          <w:szCs w:val="24"/>
        </w:rPr>
        <w:t xml:space="preserve"> to </w:t>
      </w:r>
      <w:r w:rsidR="00F87086">
        <w:rPr>
          <w:rFonts w:ascii="Arial" w:hAnsi="Arial" w:cs="Arial"/>
          <w:sz w:val="24"/>
          <w:szCs w:val="24"/>
        </w:rPr>
        <w:t>46</w:t>
      </w:r>
      <w:r w:rsidR="00BD7883">
        <w:rPr>
          <w:rFonts w:ascii="Arial" w:hAnsi="Arial" w:cs="Arial"/>
          <w:sz w:val="24"/>
          <w:szCs w:val="24"/>
        </w:rPr>
        <w:t xml:space="preserve"> days.  </w:t>
      </w:r>
    </w:p>
    <w:p w:rsidRPr="00573E42" w:rsidR="00E606C9" w:rsidP="00867B78" w:rsidRDefault="00E606C9" w14:paraId="3E018481" w14:textId="77777777">
      <w:pPr>
        <w:pStyle w:val="NoSpacing"/>
        <w:ind w:left="709"/>
        <w:jc w:val="both"/>
        <w:rPr>
          <w:rFonts w:ascii="Arial" w:hAnsi="Arial" w:cs="Arial"/>
          <w:sz w:val="24"/>
          <w:szCs w:val="24"/>
        </w:rPr>
      </w:pPr>
    </w:p>
    <w:p w:rsidR="00E916C4" w:rsidP="005B28B5" w:rsidRDefault="008E4B1E" w14:paraId="2CBC803D" w14:textId="2F277ADB">
      <w:pPr>
        <w:pStyle w:val="NoSpacing"/>
        <w:ind w:left="709" w:hanging="851"/>
        <w:jc w:val="both"/>
        <w:rPr>
          <w:rFonts w:ascii="Arial" w:hAnsi="Arial" w:cs="Arial"/>
          <w:b/>
          <w:sz w:val="24"/>
          <w:szCs w:val="24"/>
        </w:rPr>
      </w:pPr>
      <w:r>
        <w:rPr>
          <w:rFonts w:ascii="Arial" w:hAnsi="Arial" w:cs="Arial"/>
          <w:b/>
          <w:sz w:val="24"/>
          <w:szCs w:val="24"/>
        </w:rPr>
        <w:tab/>
      </w:r>
      <w:r w:rsidR="00EC65F7">
        <w:rPr>
          <w:rFonts w:ascii="Arial" w:hAnsi="Arial" w:cs="Arial"/>
          <w:b/>
          <w:sz w:val="24"/>
          <w:szCs w:val="24"/>
        </w:rPr>
        <w:t xml:space="preserve">Dip Sampling </w:t>
      </w:r>
      <w:r w:rsidRPr="00E916C4" w:rsidR="00E916C4">
        <w:rPr>
          <w:rFonts w:ascii="Arial" w:hAnsi="Arial" w:cs="Arial"/>
          <w:b/>
          <w:sz w:val="24"/>
          <w:szCs w:val="24"/>
        </w:rPr>
        <w:t>Recommendations</w:t>
      </w:r>
    </w:p>
    <w:p w:rsidR="007349AC" w:rsidP="007349AC" w:rsidRDefault="007349AC" w14:paraId="56907F46" w14:textId="77777777">
      <w:pPr>
        <w:pStyle w:val="NoSpacing"/>
        <w:ind w:left="360"/>
        <w:jc w:val="both"/>
        <w:rPr>
          <w:rFonts w:ascii="Arial" w:hAnsi="Arial" w:cs="Arial"/>
          <w:b/>
          <w:sz w:val="24"/>
          <w:szCs w:val="24"/>
        </w:rPr>
      </w:pPr>
    </w:p>
    <w:p w:rsidRPr="00176F77" w:rsidR="00176F77" w:rsidP="00176F77" w:rsidRDefault="007349AC" w14:paraId="3616C914" w14:textId="1F9B260B">
      <w:pPr>
        <w:pStyle w:val="NoSpacing"/>
        <w:numPr>
          <w:ilvl w:val="1"/>
          <w:numId w:val="7"/>
        </w:numPr>
        <w:ind w:left="709" w:hanging="851"/>
        <w:jc w:val="both"/>
        <w:rPr>
          <w:rFonts w:ascii="Arial" w:hAnsi="Arial" w:cs="Arial"/>
          <w:sz w:val="24"/>
          <w:szCs w:val="24"/>
        </w:rPr>
      </w:pPr>
      <w:r w:rsidRPr="007349AC">
        <w:rPr>
          <w:rFonts w:ascii="Arial" w:hAnsi="Arial" w:cs="Arial"/>
          <w:sz w:val="24"/>
          <w:szCs w:val="24"/>
        </w:rPr>
        <w:t>For the Professional Standards Directorate to:</w:t>
      </w:r>
    </w:p>
    <w:p w:rsidR="00176F77" w:rsidP="00176F77" w:rsidRDefault="00176F77" w14:paraId="7ACB49BF" w14:textId="77777777">
      <w:pPr>
        <w:pStyle w:val="ListParagraph"/>
        <w:ind w:left="1069"/>
        <w:rPr>
          <w:rFonts w:ascii="Arial" w:hAnsi="Arial" w:cs="Arial"/>
          <w:sz w:val="24"/>
          <w:szCs w:val="24"/>
        </w:rPr>
      </w:pPr>
    </w:p>
    <w:p w:rsidR="00F87086" w:rsidP="00E84B2E" w:rsidRDefault="00F87086" w14:paraId="48196CC9" w14:textId="12F33372">
      <w:pPr>
        <w:pStyle w:val="ListParagraph"/>
        <w:numPr>
          <w:ilvl w:val="0"/>
          <w:numId w:val="15"/>
        </w:numPr>
        <w:rPr>
          <w:rFonts w:ascii="Arial" w:hAnsi="Arial" w:cs="Arial"/>
          <w:sz w:val="24"/>
          <w:szCs w:val="24"/>
        </w:rPr>
      </w:pPr>
      <w:r>
        <w:rPr>
          <w:rFonts w:ascii="Arial" w:hAnsi="Arial" w:cs="Arial"/>
          <w:sz w:val="24"/>
          <w:szCs w:val="24"/>
        </w:rPr>
        <w:t>Establish why one complainant did not receive an outcome letter and two complainants did not receive a right of review?</w:t>
      </w:r>
    </w:p>
    <w:p w:rsidR="00F87086" w:rsidP="00F87086" w:rsidRDefault="00F87086" w14:paraId="17094EFE" w14:textId="77777777">
      <w:pPr>
        <w:pStyle w:val="ListParagraph"/>
        <w:ind w:left="1069"/>
        <w:rPr>
          <w:rFonts w:ascii="Arial" w:hAnsi="Arial" w:cs="Arial"/>
          <w:sz w:val="24"/>
          <w:szCs w:val="24"/>
        </w:rPr>
      </w:pPr>
    </w:p>
    <w:p w:rsidRPr="00E84B2E" w:rsidR="00E84B2E" w:rsidP="00E84B2E" w:rsidRDefault="00E84B2E" w14:paraId="23E80B66" w14:textId="4CA098F9">
      <w:pPr>
        <w:pStyle w:val="ListParagraph"/>
        <w:numPr>
          <w:ilvl w:val="0"/>
          <w:numId w:val="15"/>
        </w:numPr>
        <w:rPr>
          <w:rFonts w:ascii="Arial" w:hAnsi="Arial" w:cs="Arial"/>
          <w:sz w:val="24"/>
          <w:szCs w:val="24"/>
        </w:rPr>
      </w:pPr>
      <w:r>
        <w:rPr>
          <w:rFonts w:ascii="Arial" w:hAnsi="Arial" w:cs="Arial"/>
          <w:sz w:val="24"/>
          <w:szCs w:val="24"/>
        </w:rPr>
        <w:t>Consider why</w:t>
      </w:r>
      <w:r w:rsidR="00F87086">
        <w:rPr>
          <w:rFonts w:ascii="Arial" w:hAnsi="Arial" w:cs="Arial"/>
          <w:sz w:val="24"/>
          <w:szCs w:val="24"/>
        </w:rPr>
        <w:t xml:space="preserve"> investigation</w:t>
      </w:r>
      <w:r>
        <w:rPr>
          <w:rFonts w:ascii="Arial" w:hAnsi="Arial" w:cs="Arial"/>
          <w:sz w:val="24"/>
          <w:szCs w:val="24"/>
        </w:rPr>
        <w:t xml:space="preserve"> terms of reference</w:t>
      </w:r>
      <w:r w:rsidRPr="00E84B2E">
        <w:rPr>
          <w:rFonts w:ascii="Arial" w:hAnsi="Arial" w:cs="Arial"/>
          <w:sz w:val="24"/>
          <w:szCs w:val="24"/>
        </w:rPr>
        <w:t xml:space="preserve"> </w:t>
      </w:r>
      <w:r>
        <w:rPr>
          <w:rFonts w:ascii="Arial" w:hAnsi="Arial" w:cs="Arial"/>
          <w:sz w:val="24"/>
          <w:szCs w:val="24"/>
        </w:rPr>
        <w:t xml:space="preserve">and 28 days update letters </w:t>
      </w:r>
      <w:r w:rsidRPr="00E84B2E">
        <w:rPr>
          <w:rFonts w:ascii="Arial" w:hAnsi="Arial" w:cs="Arial"/>
          <w:sz w:val="24"/>
          <w:szCs w:val="24"/>
        </w:rPr>
        <w:t>do not appear to be being sent to complainants consistently.</w:t>
      </w:r>
    </w:p>
    <w:p w:rsidR="00573E42" w:rsidP="00D70141" w:rsidRDefault="00402BB6" w14:paraId="7B81050C" w14:textId="58107341">
      <w:pPr>
        <w:pStyle w:val="NoSpacing"/>
        <w:numPr>
          <w:ilvl w:val="0"/>
          <w:numId w:val="15"/>
        </w:numPr>
        <w:jc w:val="both"/>
        <w:rPr>
          <w:rFonts w:ascii="Arial" w:hAnsi="Arial" w:cs="Arial"/>
          <w:sz w:val="24"/>
          <w:szCs w:val="24"/>
        </w:rPr>
      </w:pPr>
      <w:r>
        <w:rPr>
          <w:rFonts w:ascii="Arial" w:hAnsi="Arial" w:cs="Arial"/>
          <w:sz w:val="24"/>
          <w:szCs w:val="24"/>
        </w:rPr>
        <w:t>Establish</w:t>
      </w:r>
      <w:r w:rsidR="00573E42">
        <w:rPr>
          <w:rFonts w:ascii="Arial" w:hAnsi="Arial" w:cs="Arial"/>
          <w:sz w:val="24"/>
          <w:szCs w:val="24"/>
        </w:rPr>
        <w:t xml:space="preserve"> wh</w:t>
      </w:r>
      <w:r>
        <w:rPr>
          <w:rFonts w:ascii="Arial" w:hAnsi="Arial" w:cs="Arial"/>
          <w:sz w:val="24"/>
          <w:szCs w:val="24"/>
        </w:rPr>
        <w:t xml:space="preserve">y there has been </w:t>
      </w:r>
      <w:r w:rsidR="003920DD">
        <w:rPr>
          <w:rFonts w:ascii="Arial" w:hAnsi="Arial" w:cs="Arial"/>
          <w:sz w:val="24"/>
          <w:szCs w:val="24"/>
        </w:rPr>
        <w:t>a</w:t>
      </w:r>
      <w:r w:rsidR="00E84B2E">
        <w:rPr>
          <w:rFonts w:ascii="Arial" w:hAnsi="Arial" w:cs="Arial"/>
          <w:sz w:val="24"/>
          <w:szCs w:val="24"/>
        </w:rPr>
        <w:t xml:space="preserve"> de</w:t>
      </w:r>
      <w:r>
        <w:rPr>
          <w:rFonts w:ascii="Arial" w:hAnsi="Arial" w:cs="Arial"/>
          <w:sz w:val="24"/>
          <w:szCs w:val="24"/>
        </w:rPr>
        <w:t xml:space="preserve">crease in the amount of case time to resolve complaints handled otherwise than by investigation.  </w:t>
      </w:r>
    </w:p>
    <w:p w:rsidR="00573E42" w:rsidP="00573E42" w:rsidRDefault="00573E42" w14:paraId="1FAB8570" w14:textId="77777777">
      <w:pPr>
        <w:pStyle w:val="NoSpacing"/>
        <w:ind w:left="1069"/>
        <w:jc w:val="both"/>
        <w:rPr>
          <w:rFonts w:ascii="Arial" w:hAnsi="Arial" w:cs="Arial"/>
          <w:sz w:val="24"/>
          <w:szCs w:val="24"/>
        </w:rPr>
      </w:pPr>
    </w:p>
    <w:p w:rsidR="00F87086" w:rsidP="00F87086" w:rsidRDefault="00402BB6" w14:paraId="2CE0C69D" w14:textId="2B5B931C">
      <w:pPr>
        <w:pStyle w:val="NoSpacing"/>
        <w:numPr>
          <w:ilvl w:val="0"/>
          <w:numId w:val="15"/>
        </w:numPr>
        <w:jc w:val="both"/>
        <w:rPr>
          <w:rFonts w:ascii="Arial" w:hAnsi="Arial" w:cs="Arial"/>
          <w:sz w:val="24"/>
          <w:szCs w:val="24"/>
        </w:rPr>
      </w:pPr>
      <w:r>
        <w:rPr>
          <w:rFonts w:ascii="Arial" w:hAnsi="Arial" w:cs="Arial"/>
          <w:sz w:val="24"/>
          <w:szCs w:val="24"/>
        </w:rPr>
        <w:t>Establish why there has been a</w:t>
      </w:r>
      <w:r w:rsidR="00E84B2E">
        <w:rPr>
          <w:rFonts w:ascii="Arial" w:hAnsi="Arial" w:cs="Arial"/>
          <w:sz w:val="24"/>
          <w:szCs w:val="24"/>
        </w:rPr>
        <w:t>n</w:t>
      </w:r>
      <w:r>
        <w:rPr>
          <w:rFonts w:ascii="Arial" w:hAnsi="Arial" w:cs="Arial"/>
          <w:sz w:val="24"/>
          <w:szCs w:val="24"/>
        </w:rPr>
        <w:t xml:space="preserve"> in</w:t>
      </w:r>
      <w:r w:rsidR="00E84B2E">
        <w:rPr>
          <w:rFonts w:ascii="Arial" w:hAnsi="Arial" w:cs="Arial"/>
          <w:sz w:val="24"/>
          <w:szCs w:val="24"/>
        </w:rPr>
        <w:t>crease</w:t>
      </w:r>
      <w:r>
        <w:rPr>
          <w:rFonts w:ascii="Arial" w:hAnsi="Arial" w:cs="Arial"/>
          <w:sz w:val="24"/>
          <w:szCs w:val="24"/>
        </w:rPr>
        <w:t xml:space="preserve"> the amount of case time to resolve complaints handled by investigation.  </w:t>
      </w:r>
    </w:p>
    <w:p w:rsidRPr="00F87086" w:rsidR="00F87086" w:rsidP="00F87086" w:rsidRDefault="00F87086" w14:paraId="73276C1D" w14:textId="77777777">
      <w:pPr>
        <w:pStyle w:val="NoSpacing"/>
        <w:jc w:val="both"/>
        <w:rPr>
          <w:rFonts w:ascii="Arial" w:hAnsi="Arial" w:cs="Arial"/>
          <w:sz w:val="24"/>
          <w:szCs w:val="24"/>
        </w:rPr>
      </w:pPr>
    </w:p>
    <w:p w:rsidR="00F87086" w:rsidP="00402BB6" w:rsidRDefault="00F87086" w14:paraId="5D9EB709" w14:textId="0A233730">
      <w:pPr>
        <w:pStyle w:val="NoSpacing"/>
        <w:numPr>
          <w:ilvl w:val="0"/>
          <w:numId w:val="15"/>
        </w:numPr>
        <w:jc w:val="both"/>
        <w:rPr>
          <w:rFonts w:ascii="Arial" w:hAnsi="Arial" w:cs="Arial"/>
          <w:sz w:val="24"/>
          <w:szCs w:val="24"/>
        </w:rPr>
      </w:pPr>
      <w:r>
        <w:rPr>
          <w:rFonts w:ascii="Arial" w:hAnsi="Arial" w:cs="Arial"/>
          <w:sz w:val="24"/>
          <w:szCs w:val="24"/>
        </w:rPr>
        <w:t xml:space="preserve">Consider if there is any learning from </w:t>
      </w:r>
      <w:r w:rsidRPr="00F87086">
        <w:rPr>
          <w:rFonts w:ascii="Arial" w:hAnsi="Arial" w:cs="Arial"/>
          <w:sz w:val="24"/>
          <w:szCs w:val="24"/>
        </w:rPr>
        <w:t>Police action following contac</w:t>
      </w:r>
      <w:r>
        <w:rPr>
          <w:rFonts w:ascii="Arial" w:hAnsi="Arial" w:cs="Arial"/>
          <w:sz w:val="24"/>
          <w:szCs w:val="24"/>
        </w:rPr>
        <w:t xml:space="preserve">t complaints. </w:t>
      </w:r>
    </w:p>
    <w:p w:rsidR="009B4DBE" w:rsidP="009B4DBE" w:rsidRDefault="009B4DBE" w14:paraId="10C84204" w14:textId="77777777">
      <w:pPr>
        <w:pStyle w:val="NoSpacing"/>
        <w:jc w:val="both"/>
        <w:rPr>
          <w:rFonts w:ascii="Arial" w:hAnsi="Arial" w:cs="Arial"/>
          <w:sz w:val="24"/>
          <w:szCs w:val="24"/>
        </w:rPr>
      </w:pPr>
    </w:p>
    <w:p w:rsidR="00F87086" w:rsidP="003D17AC" w:rsidRDefault="00F87086" w14:paraId="703428F3" w14:textId="77777777">
      <w:pPr>
        <w:pStyle w:val="NoSpacing"/>
        <w:jc w:val="both"/>
        <w:rPr>
          <w:rFonts w:ascii="Arial" w:hAnsi="Arial" w:cs="Arial"/>
          <w:b/>
          <w:sz w:val="24"/>
          <w:szCs w:val="24"/>
        </w:rPr>
      </w:pPr>
    </w:p>
    <w:p w:rsidR="00F87086" w:rsidP="003D17AC" w:rsidRDefault="00F87086" w14:paraId="43FF6DCB" w14:textId="77777777">
      <w:pPr>
        <w:pStyle w:val="NoSpacing"/>
        <w:jc w:val="both"/>
        <w:rPr>
          <w:rFonts w:ascii="Arial" w:hAnsi="Arial" w:cs="Arial"/>
          <w:b/>
          <w:sz w:val="24"/>
          <w:szCs w:val="24"/>
        </w:rPr>
      </w:pPr>
    </w:p>
    <w:p w:rsidR="00F87086" w:rsidP="003D17AC" w:rsidRDefault="00F87086" w14:paraId="2FE8549F" w14:textId="77777777">
      <w:pPr>
        <w:pStyle w:val="NoSpacing"/>
        <w:jc w:val="both"/>
        <w:rPr>
          <w:rFonts w:ascii="Arial" w:hAnsi="Arial" w:cs="Arial"/>
          <w:b/>
          <w:sz w:val="24"/>
          <w:szCs w:val="24"/>
        </w:rPr>
      </w:pPr>
    </w:p>
    <w:p w:rsidR="0097521C" w:rsidP="003D17AC" w:rsidRDefault="0097521C" w14:paraId="6D995803" w14:textId="3923DD2A">
      <w:pPr>
        <w:pStyle w:val="NoSpacing"/>
        <w:jc w:val="both"/>
        <w:rPr>
          <w:rFonts w:ascii="Arial" w:hAnsi="Arial" w:cs="Arial"/>
          <w:b/>
          <w:sz w:val="24"/>
          <w:szCs w:val="24"/>
        </w:rPr>
      </w:pPr>
      <w:r w:rsidRPr="00375EF5">
        <w:rPr>
          <w:rFonts w:ascii="Arial" w:hAnsi="Arial" w:cs="Arial"/>
          <w:b/>
          <w:sz w:val="24"/>
          <w:szCs w:val="24"/>
        </w:rPr>
        <w:t>Complaint Reviews Breakdown</w:t>
      </w:r>
    </w:p>
    <w:p w:rsidR="003D17AC" w:rsidP="003D17AC" w:rsidRDefault="003D17AC" w14:paraId="2EBA1132" w14:textId="77777777">
      <w:pPr>
        <w:pStyle w:val="NoSpacing"/>
        <w:ind w:left="709" w:hanging="851"/>
        <w:jc w:val="both"/>
        <w:rPr>
          <w:rFonts w:ascii="Arial" w:hAnsi="Arial" w:cs="Arial"/>
          <w:b/>
          <w:sz w:val="24"/>
          <w:szCs w:val="24"/>
        </w:rPr>
      </w:pPr>
    </w:p>
    <w:p w:rsidR="00BD7883" w:rsidP="00BD7883" w:rsidRDefault="00BD7883" w14:paraId="1BA5CEE9" w14:textId="63ECDC8D">
      <w:pPr>
        <w:pStyle w:val="NoSpacing"/>
        <w:ind w:left="709" w:hanging="851"/>
        <w:jc w:val="both"/>
        <w:rPr>
          <w:rFonts w:ascii="Arial" w:hAnsi="Arial" w:cs="Arial"/>
          <w:bCs/>
          <w:sz w:val="24"/>
          <w:szCs w:val="24"/>
        </w:rPr>
      </w:pPr>
      <w:r>
        <w:rPr>
          <w:rFonts w:ascii="Arial" w:hAnsi="Arial" w:cs="Arial"/>
          <w:bCs/>
          <w:sz w:val="24"/>
          <w:szCs w:val="24"/>
        </w:rPr>
        <w:t>4.15</w:t>
      </w:r>
      <w:r>
        <w:rPr>
          <w:rFonts w:ascii="Arial" w:hAnsi="Arial" w:cs="Arial"/>
          <w:bCs/>
          <w:sz w:val="24"/>
          <w:szCs w:val="24"/>
        </w:rPr>
        <w:tab/>
        <w:t xml:space="preserve">For the six months (1/2/22-31/7/22) the Office of the Police and Crime Commissioner received </w:t>
      </w:r>
      <w:r w:rsidRPr="00183D46">
        <w:rPr>
          <w:rFonts w:ascii="Arial" w:hAnsi="Arial" w:cs="Arial"/>
          <w:bCs/>
          <w:sz w:val="24"/>
          <w:szCs w:val="24"/>
        </w:rPr>
        <w:t>66</w:t>
      </w:r>
      <w:r w:rsidRPr="00672B3F">
        <w:rPr>
          <w:rFonts w:ascii="Arial" w:hAnsi="Arial" w:cs="Arial"/>
          <w:b/>
          <w:sz w:val="24"/>
          <w:szCs w:val="24"/>
        </w:rPr>
        <w:t xml:space="preserve"> </w:t>
      </w:r>
      <w:r>
        <w:rPr>
          <w:rFonts w:ascii="Arial" w:hAnsi="Arial" w:cs="Arial"/>
          <w:bCs/>
          <w:sz w:val="24"/>
          <w:szCs w:val="24"/>
        </w:rPr>
        <w:t>requests for a complaint review. The total number of reviews requested in the twelve months to 31/1/22 was 118.</w:t>
      </w:r>
    </w:p>
    <w:p w:rsidR="00BD7883" w:rsidP="00BD7883" w:rsidRDefault="00BD7883" w14:paraId="42FF8AE6" w14:textId="77777777">
      <w:pPr>
        <w:pStyle w:val="NoSpacing"/>
        <w:ind w:left="709" w:hanging="851"/>
        <w:jc w:val="both"/>
        <w:rPr>
          <w:rFonts w:ascii="Arial" w:hAnsi="Arial" w:cs="Arial"/>
          <w:bCs/>
          <w:sz w:val="24"/>
          <w:szCs w:val="24"/>
        </w:rPr>
      </w:pPr>
    </w:p>
    <w:p w:rsidR="00BD7883" w:rsidP="00BD7883" w:rsidRDefault="00BD7883" w14:paraId="6080739E" w14:textId="5E252D0E">
      <w:pPr>
        <w:pStyle w:val="NoSpacing"/>
        <w:ind w:left="709" w:hanging="851"/>
        <w:jc w:val="both"/>
        <w:rPr>
          <w:rFonts w:ascii="Arial" w:hAnsi="Arial" w:cs="Arial"/>
          <w:bCs/>
          <w:sz w:val="24"/>
          <w:szCs w:val="24"/>
        </w:rPr>
      </w:pPr>
      <w:r>
        <w:rPr>
          <w:rFonts w:ascii="Arial" w:hAnsi="Arial" w:cs="Arial"/>
          <w:bCs/>
          <w:sz w:val="24"/>
          <w:szCs w:val="24"/>
        </w:rPr>
        <w:tab/>
        <w:t>Of the complaint reviews undertaken since 1/2/22, 10 (18%) have been upheld. The proportion of reviews upheld to 31/1/22 was 26%.</w:t>
      </w:r>
    </w:p>
    <w:p w:rsidR="00BD7883" w:rsidP="00BD7883" w:rsidRDefault="00BD7883" w14:paraId="3AE05AFA" w14:textId="77777777">
      <w:pPr>
        <w:pStyle w:val="NoSpacing"/>
        <w:ind w:left="709" w:hanging="851"/>
        <w:jc w:val="both"/>
        <w:rPr>
          <w:rFonts w:ascii="Arial" w:hAnsi="Arial" w:cs="Arial"/>
          <w:bCs/>
          <w:sz w:val="24"/>
          <w:szCs w:val="24"/>
        </w:rPr>
      </w:pPr>
    </w:p>
    <w:p w:rsidR="00BD7883" w:rsidP="00BD7883" w:rsidRDefault="00BD7883" w14:paraId="4C0EF5D9" w14:textId="646514FB">
      <w:pPr>
        <w:pStyle w:val="NoSpacing"/>
        <w:ind w:left="709" w:hanging="851"/>
        <w:jc w:val="both"/>
        <w:rPr>
          <w:rFonts w:ascii="Arial" w:hAnsi="Arial" w:cs="Arial"/>
          <w:bCs/>
          <w:sz w:val="24"/>
          <w:szCs w:val="24"/>
        </w:rPr>
      </w:pPr>
      <w:r>
        <w:rPr>
          <w:rFonts w:ascii="Arial" w:hAnsi="Arial" w:cs="Arial"/>
          <w:bCs/>
          <w:sz w:val="24"/>
          <w:szCs w:val="24"/>
        </w:rPr>
        <w:tab/>
        <w:t xml:space="preserve">Given the relatively low numbers, both the total reviews </w:t>
      </w:r>
      <w:r w:rsidR="00E84B2E">
        <w:rPr>
          <w:rFonts w:ascii="Arial" w:hAnsi="Arial" w:cs="Arial"/>
          <w:bCs/>
          <w:sz w:val="24"/>
          <w:szCs w:val="24"/>
        </w:rPr>
        <w:t>requested,</w:t>
      </w:r>
      <w:r>
        <w:rPr>
          <w:rFonts w:ascii="Arial" w:hAnsi="Arial" w:cs="Arial"/>
          <w:bCs/>
          <w:sz w:val="24"/>
          <w:szCs w:val="24"/>
        </w:rPr>
        <w:t xml:space="preserve"> and the proportion upheld are broadly in line with figures for the twelve months to 31/1/22. </w:t>
      </w:r>
    </w:p>
    <w:p w:rsidR="00EE6F72" w:rsidP="00BD7883" w:rsidRDefault="00EE6F72" w14:paraId="706CB231" w14:textId="77777777">
      <w:pPr>
        <w:pStyle w:val="NoSpacing"/>
        <w:jc w:val="both"/>
        <w:rPr>
          <w:rFonts w:ascii="Arial" w:hAnsi="Arial" w:cs="Arial"/>
          <w:sz w:val="24"/>
          <w:szCs w:val="24"/>
        </w:rPr>
      </w:pPr>
    </w:p>
    <w:p w:rsidR="00EE6F72" w:rsidP="00363F9B" w:rsidRDefault="00EE6F72" w14:paraId="14FD05D4" w14:textId="77777777">
      <w:pPr>
        <w:pStyle w:val="NoSpacing"/>
        <w:ind w:left="720"/>
        <w:jc w:val="both"/>
        <w:rPr>
          <w:rFonts w:ascii="Arial" w:hAnsi="Arial" w:cs="Arial"/>
          <w:sz w:val="24"/>
          <w:szCs w:val="24"/>
        </w:rPr>
      </w:pPr>
      <w:r>
        <w:rPr>
          <w:rFonts w:ascii="Arial" w:hAnsi="Arial" w:cs="Arial"/>
          <w:sz w:val="24"/>
          <w:szCs w:val="24"/>
        </w:rPr>
        <w:t>The average time for completion (from receipt of review) of the complaint reviews over this period was:</w:t>
      </w:r>
    </w:p>
    <w:p w:rsidR="00EE6F72" w:rsidP="00EE6F72" w:rsidRDefault="00EE6F72" w14:paraId="49D54B97" w14:textId="77777777">
      <w:pPr>
        <w:pStyle w:val="NoSpacing"/>
        <w:ind w:left="709"/>
        <w:jc w:val="both"/>
        <w:rPr>
          <w:rFonts w:ascii="Arial" w:hAnsi="Arial" w:cs="Arial"/>
          <w:sz w:val="24"/>
          <w:szCs w:val="24"/>
        </w:rPr>
      </w:pPr>
    </w:p>
    <w:p w:rsidR="00EE6F72" w:rsidP="00F87086" w:rsidRDefault="00961004" w14:paraId="16C1B4D4" w14:textId="05D7E862">
      <w:pPr>
        <w:pStyle w:val="NoSpacing"/>
        <w:numPr>
          <w:ilvl w:val="0"/>
          <w:numId w:val="30"/>
        </w:numPr>
        <w:ind w:left="1134" w:hanging="425"/>
        <w:jc w:val="both"/>
        <w:rPr>
          <w:rFonts w:ascii="Arial" w:hAnsi="Arial" w:cs="Arial"/>
          <w:sz w:val="24"/>
          <w:szCs w:val="24"/>
        </w:rPr>
      </w:pPr>
      <w:r>
        <w:rPr>
          <w:rFonts w:ascii="Arial" w:hAnsi="Arial" w:cs="Arial"/>
          <w:sz w:val="24"/>
          <w:szCs w:val="24"/>
        </w:rPr>
        <w:t>26</w:t>
      </w:r>
      <w:r w:rsidR="00EE6F72">
        <w:rPr>
          <w:rFonts w:ascii="Arial" w:hAnsi="Arial" w:cs="Arial"/>
          <w:sz w:val="24"/>
          <w:szCs w:val="24"/>
        </w:rPr>
        <w:t xml:space="preserve"> days for not upheld</w:t>
      </w:r>
      <w:r>
        <w:rPr>
          <w:rFonts w:ascii="Arial" w:hAnsi="Arial" w:cs="Arial"/>
          <w:sz w:val="24"/>
          <w:szCs w:val="24"/>
        </w:rPr>
        <w:t xml:space="preserve"> (previously 48 days)</w:t>
      </w:r>
    </w:p>
    <w:p w:rsidR="00EE6F72" w:rsidP="00F87086" w:rsidRDefault="00874454" w14:paraId="2042DBBF" w14:textId="6E4A3E3B">
      <w:pPr>
        <w:pStyle w:val="NoSpacing"/>
        <w:numPr>
          <w:ilvl w:val="0"/>
          <w:numId w:val="30"/>
        </w:numPr>
        <w:ind w:left="1134" w:hanging="425"/>
        <w:jc w:val="both"/>
        <w:rPr>
          <w:rFonts w:ascii="Arial" w:hAnsi="Arial" w:cs="Arial"/>
          <w:sz w:val="24"/>
          <w:szCs w:val="24"/>
        </w:rPr>
      </w:pPr>
      <w:r>
        <w:rPr>
          <w:rFonts w:ascii="Arial" w:hAnsi="Arial" w:cs="Arial"/>
          <w:sz w:val="24"/>
          <w:szCs w:val="24"/>
        </w:rPr>
        <w:t>44</w:t>
      </w:r>
      <w:r w:rsidR="00EE6F72">
        <w:rPr>
          <w:rFonts w:ascii="Arial" w:hAnsi="Arial" w:cs="Arial"/>
          <w:sz w:val="24"/>
          <w:szCs w:val="24"/>
        </w:rPr>
        <w:t xml:space="preserve"> days for upheld</w:t>
      </w:r>
      <w:r>
        <w:rPr>
          <w:rFonts w:ascii="Arial" w:hAnsi="Arial" w:cs="Arial"/>
          <w:sz w:val="24"/>
          <w:szCs w:val="24"/>
        </w:rPr>
        <w:t xml:space="preserve"> (previously 55 days)</w:t>
      </w:r>
    </w:p>
    <w:p w:rsidRPr="00BD7883" w:rsidR="00EE6F72" w:rsidP="00BD7883" w:rsidRDefault="00EE6F72" w14:paraId="6112D2E8" w14:textId="48EA595C">
      <w:pPr>
        <w:spacing w:after="0" w:line="240" w:lineRule="auto"/>
        <w:jc w:val="both"/>
        <w:rPr>
          <w:rFonts w:cs="Arial"/>
          <w:szCs w:val="24"/>
        </w:rPr>
      </w:pPr>
    </w:p>
    <w:p w:rsidR="00BD7883" w:rsidP="00BD7883" w:rsidRDefault="00BD7883" w14:paraId="39A00408" w14:textId="77777777">
      <w:pPr>
        <w:pStyle w:val="NoSpacing"/>
        <w:jc w:val="both"/>
        <w:rPr>
          <w:rFonts w:ascii="Arial" w:hAnsi="Arial" w:cs="Arial"/>
          <w:b/>
          <w:sz w:val="24"/>
          <w:szCs w:val="24"/>
        </w:rPr>
      </w:pPr>
      <w:r>
        <w:rPr>
          <w:rFonts w:ascii="Arial" w:hAnsi="Arial" w:cs="Arial"/>
          <w:b/>
          <w:sz w:val="24"/>
          <w:szCs w:val="24"/>
        </w:rPr>
        <w:t xml:space="preserve">Complaint Review </w:t>
      </w:r>
      <w:r w:rsidRPr="00F36B37">
        <w:rPr>
          <w:rFonts w:ascii="Arial" w:hAnsi="Arial" w:cs="Arial"/>
          <w:b/>
          <w:sz w:val="24"/>
          <w:szCs w:val="24"/>
        </w:rPr>
        <w:t>Learning</w:t>
      </w:r>
    </w:p>
    <w:p w:rsidR="00BD7883" w:rsidP="00BD7883" w:rsidRDefault="00BD7883" w14:paraId="4AC789E3" w14:textId="77777777">
      <w:pPr>
        <w:pStyle w:val="NoSpacing"/>
        <w:jc w:val="both"/>
        <w:rPr>
          <w:rFonts w:ascii="Arial" w:hAnsi="Arial" w:cs="Arial"/>
          <w:b/>
          <w:sz w:val="24"/>
          <w:szCs w:val="24"/>
        </w:rPr>
      </w:pPr>
    </w:p>
    <w:p w:rsidR="00BD7883" w:rsidP="00BD7883" w:rsidRDefault="00BD7883" w14:paraId="6401ACBE" w14:textId="77777777">
      <w:pPr>
        <w:pStyle w:val="NoSpacing"/>
        <w:ind w:left="709" w:hanging="709"/>
        <w:jc w:val="both"/>
        <w:rPr>
          <w:rFonts w:ascii="Arial" w:hAnsi="Arial" w:cs="Arial"/>
          <w:sz w:val="24"/>
          <w:szCs w:val="24"/>
        </w:rPr>
      </w:pPr>
      <w:r>
        <w:rPr>
          <w:rFonts w:ascii="Arial" w:hAnsi="Arial" w:cs="Arial"/>
          <w:sz w:val="24"/>
          <w:szCs w:val="24"/>
        </w:rPr>
        <w:t>4.16</w:t>
      </w:r>
      <w:r>
        <w:rPr>
          <w:rFonts w:ascii="Arial" w:hAnsi="Arial" w:cs="Arial"/>
          <w:sz w:val="24"/>
          <w:szCs w:val="24"/>
        </w:rPr>
        <w:tab/>
      </w:r>
      <w:r w:rsidRPr="00F36B37">
        <w:rPr>
          <w:rFonts w:ascii="Arial" w:hAnsi="Arial" w:cs="Arial"/>
          <w:sz w:val="24"/>
          <w:szCs w:val="24"/>
        </w:rPr>
        <w:t>The relatively low numbers mean it is difficult to identify specific patterns or to draw conclusions about how complaints are handled by the force.</w:t>
      </w:r>
      <w:r>
        <w:rPr>
          <w:rFonts w:ascii="Arial" w:hAnsi="Arial" w:cs="Arial"/>
          <w:sz w:val="24"/>
          <w:szCs w:val="24"/>
        </w:rPr>
        <w:t xml:space="preserve">  </w:t>
      </w:r>
      <w:r w:rsidRPr="00F36B37">
        <w:rPr>
          <w:rFonts w:ascii="Arial" w:hAnsi="Arial" w:cs="Arial"/>
          <w:sz w:val="24"/>
          <w:szCs w:val="24"/>
        </w:rPr>
        <w:t>In a number of the upheld cases</w:t>
      </w:r>
      <w:r>
        <w:rPr>
          <w:rFonts w:ascii="Arial" w:hAnsi="Arial" w:cs="Arial"/>
          <w:sz w:val="24"/>
          <w:szCs w:val="24"/>
        </w:rPr>
        <w:t xml:space="preserve">, </w:t>
      </w:r>
      <w:r w:rsidRPr="00F36B37">
        <w:rPr>
          <w:rFonts w:ascii="Arial" w:hAnsi="Arial" w:cs="Arial"/>
          <w:sz w:val="24"/>
          <w:szCs w:val="24"/>
        </w:rPr>
        <w:t>the enquiries carried out by the force were insufficient to address the complainant’s concerns and suitable recommendations were made by the PCC to rectify this.</w:t>
      </w:r>
    </w:p>
    <w:p w:rsidR="00BD7883" w:rsidP="00BD7883" w:rsidRDefault="00BD7883" w14:paraId="2F4CE8B7" w14:textId="77777777">
      <w:pPr>
        <w:pStyle w:val="NoSpacing"/>
        <w:ind w:left="709" w:hanging="709"/>
        <w:jc w:val="both"/>
        <w:rPr>
          <w:rFonts w:ascii="Arial" w:hAnsi="Arial" w:cs="Arial"/>
          <w:sz w:val="24"/>
          <w:szCs w:val="24"/>
        </w:rPr>
      </w:pPr>
    </w:p>
    <w:p w:rsidR="00BD7883" w:rsidP="00BD7883" w:rsidRDefault="00BD7883" w14:paraId="34887957" w14:textId="3BDEAB8A">
      <w:pPr>
        <w:pStyle w:val="NoSpacing"/>
        <w:ind w:left="709" w:hanging="709"/>
        <w:jc w:val="both"/>
        <w:rPr>
          <w:rFonts w:ascii="Arial" w:hAnsi="Arial" w:cs="Arial"/>
          <w:sz w:val="24"/>
          <w:szCs w:val="24"/>
        </w:rPr>
      </w:pPr>
      <w:r>
        <w:rPr>
          <w:rFonts w:ascii="Arial" w:hAnsi="Arial" w:cs="Arial"/>
          <w:sz w:val="24"/>
          <w:szCs w:val="24"/>
        </w:rPr>
        <w:tab/>
        <w:t>Of the upheld reviews, in one case a recommendation was made that the complainant should be provided with a Victim’s Right to Review in respect of an alleged case of fraud. In two other cases it was recommended that PSD should deal with the complaint afresh as the initial handling did not address the identified concerns. In each of these cases the recommendations were accepted and actioned PSD.</w:t>
      </w:r>
    </w:p>
    <w:p w:rsidR="00BD7883" w:rsidP="00BD7883" w:rsidRDefault="00BD7883" w14:paraId="72A3D5AB" w14:textId="77777777">
      <w:pPr>
        <w:pStyle w:val="NoSpacing"/>
        <w:ind w:left="709" w:hanging="709"/>
        <w:jc w:val="both"/>
        <w:rPr>
          <w:rFonts w:ascii="Arial" w:hAnsi="Arial" w:cs="Arial"/>
          <w:sz w:val="24"/>
          <w:szCs w:val="24"/>
        </w:rPr>
      </w:pPr>
    </w:p>
    <w:p w:rsidR="00BD7883" w:rsidP="00BD7883" w:rsidRDefault="00BD7883" w14:paraId="124903E0" w14:textId="6867A506">
      <w:pPr>
        <w:pStyle w:val="NoSpacing"/>
        <w:ind w:left="709" w:hanging="709"/>
        <w:jc w:val="both"/>
        <w:rPr>
          <w:rFonts w:ascii="Arial" w:hAnsi="Arial" w:cs="Arial"/>
          <w:sz w:val="24"/>
          <w:szCs w:val="24"/>
        </w:rPr>
      </w:pPr>
      <w:r>
        <w:rPr>
          <w:rFonts w:ascii="Arial" w:hAnsi="Arial" w:cs="Arial"/>
          <w:sz w:val="24"/>
          <w:szCs w:val="24"/>
        </w:rPr>
        <w:tab/>
        <w:t>During the reporting period there have been some changes to management and staffing within PSD. This is likely to have a positive impact on the processing of cases dealt with ‘</w:t>
      </w:r>
      <w:r w:rsidRPr="008F2773">
        <w:rPr>
          <w:rFonts w:ascii="Arial" w:hAnsi="Arial" w:cs="Arial"/>
          <w:i/>
          <w:sz w:val="24"/>
          <w:szCs w:val="24"/>
        </w:rPr>
        <w:t>other than by investigation</w:t>
      </w:r>
      <w:r>
        <w:rPr>
          <w:rFonts w:ascii="Arial" w:hAnsi="Arial" w:cs="Arial"/>
          <w:sz w:val="24"/>
          <w:szCs w:val="24"/>
        </w:rPr>
        <w:t>’.</w:t>
      </w:r>
    </w:p>
    <w:p w:rsidR="00EE6F72" w:rsidP="00EE6F72" w:rsidRDefault="00EE6F72" w14:paraId="61730958" w14:textId="7C6CA5A0">
      <w:pPr>
        <w:spacing w:after="0" w:line="240" w:lineRule="auto"/>
        <w:jc w:val="both"/>
        <w:rPr>
          <w:rFonts w:cs="Arial"/>
          <w:szCs w:val="24"/>
        </w:rPr>
      </w:pPr>
    </w:p>
    <w:p w:rsidR="00EE6F72" w:rsidP="00762747" w:rsidRDefault="00EE6F72" w14:paraId="1C64D754" w14:textId="77777777">
      <w:pPr>
        <w:spacing w:after="0" w:line="240" w:lineRule="auto"/>
        <w:ind w:left="709"/>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F56221" w14:paraId="0B14C3AB" w14:textId="77777777">
        <w:tc>
          <w:tcPr>
            <w:tcW w:w="9016" w:type="dxa"/>
          </w:tcPr>
          <w:p w:rsidRPr="00826D93" w:rsidR="00A547F3" w:rsidP="003D17AC" w:rsidRDefault="00A547F3" w14:paraId="683D19D4"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Financial Implications and Budget Provision</w:t>
            </w:r>
          </w:p>
        </w:tc>
      </w:tr>
    </w:tbl>
    <w:p w:rsidRPr="0069013F" w:rsidR="00A547F3" w:rsidP="007B7C9D" w:rsidRDefault="00A547F3" w14:paraId="36A32EF2" w14:textId="77777777">
      <w:pPr>
        <w:pStyle w:val="NoSpacing"/>
        <w:jc w:val="both"/>
        <w:rPr>
          <w:rFonts w:ascii="Arial" w:hAnsi="Arial" w:cs="Arial"/>
          <w:sz w:val="24"/>
          <w:szCs w:val="24"/>
        </w:rPr>
      </w:pPr>
    </w:p>
    <w:p w:rsidR="00A547F3" w:rsidP="007B7C9D" w:rsidRDefault="00A547F3" w14:paraId="2D4CB9C1" w14:textId="77777777">
      <w:pPr>
        <w:spacing w:line="240" w:lineRule="auto"/>
        <w:ind w:left="720" w:hanging="720"/>
        <w:jc w:val="both"/>
        <w:rPr>
          <w:rFonts w:cs="Arial"/>
          <w:szCs w:val="24"/>
        </w:rPr>
      </w:pPr>
      <w:r>
        <w:rPr>
          <w:rFonts w:cs="Arial"/>
          <w:szCs w:val="24"/>
        </w:rPr>
        <w:t>5.1</w:t>
      </w:r>
      <w:r>
        <w:rPr>
          <w:rFonts w:cs="Arial"/>
          <w:szCs w:val="24"/>
        </w:rPr>
        <w:tab/>
        <w:t>There are no financial implications or budget provision.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6809C459" w14:textId="77777777">
        <w:tc>
          <w:tcPr>
            <w:tcW w:w="9242" w:type="dxa"/>
          </w:tcPr>
          <w:p w:rsidRPr="00826D93" w:rsidR="00A547F3" w:rsidP="003D17AC" w:rsidRDefault="00A547F3" w14:paraId="737EF1A9"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Human Resources Implications</w:t>
            </w:r>
          </w:p>
        </w:tc>
      </w:tr>
    </w:tbl>
    <w:p w:rsidRPr="0069013F" w:rsidR="00A547F3" w:rsidP="007B7C9D" w:rsidRDefault="00A547F3" w14:paraId="59BE7029" w14:textId="77777777">
      <w:pPr>
        <w:pStyle w:val="NoSpacing"/>
        <w:jc w:val="both"/>
        <w:rPr>
          <w:rFonts w:ascii="Arial" w:hAnsi="Arial" w:cs="Arial"/>
          <w:sz w:val="24"/>
          <w:szCs w:val="24"/>
        </w:rPr>
      </w:pPr>
    </w:p>
    <w:p w:rsidR="00A547F3" w:rsidP="007B7C9D" w:rsidRDefault="00A547F3" w14:paraId="79E1A8F6" w14:textId="77777777">
      <w:pPr>
        <w:pStyle w:val="NoSpacing"/>
        <w:ind w:left="709" w:hanging="709"/>
        <w:jc w:val="both"/>
        <w:rPr>
          <w:rFonts w:ascii="Arial" w:hAnsi="Arial" w:cs="Arial"/>
          <w:sz w:val="24"/>
          <w:szCs w:val="24"/>
        </w:rPr>
      </w:pPr>
      <w:r w:rsidRPr="006076B2">
        <w:rPr>
          <w:rFonts w:ascii="Arial" w:hAnsi="Arial" w:cs="Arial"/>
          <w:sz w:val="24"/>
          <w:szCs w:val="24"/>
        </w:rPr>
        <w:t>6.1</w:t>
      </w:r>
      <w:r w:rsidRPr="006076B2">
        <w:rPr>
          <w:rFonts w:ascii="Arial" w:hAnsi="Arial" w:cs="Arial"/>
          <w:sz w:val="24"/>
          <w:szCs w:val="24"/>
        </w:rPr>
        <w:tab/>
      </w:r>
      <w:r>
        <w:rPr>
          <w:rFonts w:ascii="Arial" w:hAnsi="Arial" w:cs="Arial"/>
          <w:sz w:val="24"/>
          <w:szCs w:val="24"/>
        </w:rPr>
        <w:t xml:space="preserve">There are no human resource implications. </w:t>
      </w:r>
    </w:p>
    <w:p w:rsidRPr="0069013F" w:rsidR="00A547F3" w:rsidP="007B7C9D" w:rsidRDefault="00A547F3" w14:paraId="611BDDED"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5F1B4587" w14:textId="77777777">
        <w:tc>
          <w:tcPr>
            <w:tcW w:w="9242" w:type="dxa"/>
          </w:tcPr>
          <w:p w:rsidRPr="00826D93" w:rsidR="00A547F3" w:rsidP="003D17AC" w:rsidRDefault="00A547F3" w14:paraId="051DB0FB"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Equality Implications</w:t>
            </w:r>
          </w:p>
        </w:tc>
      </w:tr>
    </w:tbl>
    <w:p w:rsidRPr="0069013F" w:rsidR="00A547F3" w:rsidP="007B7C9D" w:rsidRDefault="00A547F3" w14:paraId="34473CA9" w14:textId="77777777">
      <w:pPr>
        <w:pStyle w:val="NoSpacing"/>
        <w:jc w:val="both"/>
        <w:rPr>
          <w:rFonts w:ascii="Arial" w:hAnsi="Arial" w:cs="Arial"/>
          <w:sz w:val="24"/>
          <w:szCs w:val="24"/>
        </w:rPr>
      </w:pPr>
    </w:p>
    <w:p w:rsidRPr="00961004" w:rsidR="00C25020" w:rsidP="00C25020" w:rsidRDefault="00A547F3" w14:paraId="179FFE3E" w14:textId="0501E4BB">
      <w:pPr>
        <w:pStyle w:val="ListParagraph"/>
        <w:numPr>
          <w:ilvl w:val="1"/>
          <w:numId w:val="7"/>
        </w:numPr>
        <w:spacing w:line="240" w:lineRule="auto"/>
        <w:ind w:left="851" w:hanging="851"/>
        <w:jc w:val="both"/>
        <w:rPr>
          <w:rFonts w:ascii="Arial" w:hAnsi="Arial" w:cs="Arial"/>
          <w:sz w:val="24"/>
          <w:szCs w:val="24"/>
        </w:rPr>
      </w:pPr>
      <w:r w:rsidRPr="00C25020">
        <w:rPr>
          <w:rFonts w:ascii="Arial" w:hAnsi="Arial" w:cs="Arial"/>
          <w:sz w:val="24"/>
          <w:szCs w:val="24"/>
        </w:rPr>
        <w:t xml:space="preserve">There are no </w:t>
      </w:r>
      <w:r w:rsidRPr="00C25020" w:rsidR="0010203E">
        <w:rPr>
          <w:rFonts w:ascii="Arial" w:hAnsi="Arial" w:cs="Arial"/>
          <w:sz w:val="24"/>
          <w:szCs w:val="24"/>
        </w:rPr>
        <w:t>equality</w:t>
      </w:r>
      <w:r w:rsidRPr="00C25020">
        <w:rPr>
          <w:rFonts w:ascii="Arial" w:hAnsi="Arial" w:cs="Arial"/>
          <w:sz w:val="24"/>
          <w:szCs w:val="24"/>
        </w:rPr>
        <w:t xml:space="preserve"> implications.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2D0EC6A8" w14:textId="77777777">
        <w:tc>
          <w:tcPr>
            <w:tcW w:w="9242" w:type="dxa"/>
          </w:tcPr>
          <w:p w:rsidRPr="00826D93" w:rsidR="00A547F3" w:rsidP="003D17AC" w:rsidRDefault="00A547F3" w14:paraId="09E4E416"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Risk Management</w:t>
            </w:r>
          </w:p>
        </w:tc>
      </w:tr>
    </w:tbl>
    <w:p w:rsidR="00A547F3" w:rsidP="007B7C9D" w:rsidRDefault="00A547F3" w14:paraId="2AE7EA62" w14:textId="77777777">
      <w:pPr>
        <w:pStyle w:val="NoSpacing"/>
        <w:jc w:val="both"/>
        <w:rPr>
          <w:rFonts w:ascii="Arial" w:hAnsi="Arial" w:cs="Arial"/>
          <w:sz w:val="24"/>
          <w:szCs w:val="24"/>
        </w:rPr>
      </w:pPr>
    </w:p>
    <w:p w:rsidR="007230CB" w:rsidP="00CB0898" w:rsidRDefault="007230CB" w14:paraId="24FBD8D8" w14:textId="59D72DB7">
      <w:pPr>
        <w:pStyle w:val="CommentText"/>
        <w:numPr>
          <w:ilvl w:val="1"/>
          <w:numId w:val="7"/>
        </w:numPr>
        <w:rPr>
          <w:sz w:val="24"/>
          <w:szCs w:val="24"/>
        </w:rPr>
      </w:pPr>
      <w:r w:rsidRPr="007230CB">
        <w:rPr>
          <w:sz w:val="24"/>
          <w:szCs w:val="24"/>
        </w:rPr>
        <w:t>Public confidence is likely to be impacted as a result of the details within this report.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9E7712" w14:paraId="4EA32A19" w14:textId="77777777">
        <w:tc>
          <w:tcPr>
            <w:tcW w:w="9016" w:type="dxa"/>
          </w:tcPr>
          <w:p w:rsidRPr="00826D93" w:rsidR="00A547F3" w:rsidP="003D17AC" w:rsidRDefault="00A547F3" w14:paraId="5E145F91"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Policy Implications and links to the Police and Crime Plan Priorities</w:t>
            </w:r>
          </w:p>
        </w:tc>
      </w:tr>
    </w:tbl>
    <w:p w:rsidRPr="0069013F" w:rsidR="00A547F3" w:rsidP="007B7C9D" w:rsidRDefault="00A547F3" w14:paraId="6492D48D" w14:textId="77777777">
      <w:pPr>
        <w:pStyle w:val="NoSpacing"/>
        <w:jc w:val="both"/>
        <w:rPr>
          <w:rFonts w:ascii="Arial" w:hAnsi="Arial" w:cs="Arial"/>
          <w:sz w:val="24"/>
          <w:szCs w:val="24"/>
        </w:rPr>
      </w:pPr>
    </w:p>
    <w:p w:rsidR="00A547F3" w:rsidP="00171981" w:rsidRDefault="00A547F3" w14:paraId="6FF10C65" w14:textId="77777777">
      <w:pPr>
        <w:pStyle w:val="NoSpacing"/>
        <w:ind w:left="709" w:hanging="709"/>
        <w:jc w:val="both"/>
        <w:rPr>
          <w:rFonts w:ascii="Arial" w:hAnsi="Arial" w:cs="Arial"/>
          <w:sz w:val="24"/>
          <w:szCs w:val="24"/>
        </w:rPr>
      </w:pPr>
      <w:r>
        <w:rPr>
          <w:rFonts w:ascii="Arial" w:hAnsi="Arial" w:cs="Arial"/>
          <w:sz w:val="24"/>
          <w:szCs w:val="24"/>
        </w:rPr>
        <w:t>9.1</w:t>
      </w:r>
      <w:r>
        <w:rPr>
          <w:rFonts w:ascii="Arial" w:hAnsi="Arial" w:cs="Arial"/>
          <w:sz w:val="24"/>
          <w:szCs w:val="24"/>
        </w:rPr>
        <w:tab/>
      </w:r>
      <w:r w:rsidR="00E8187C">
        <w:rPr>
          <w:rFonts w:ascii="Arial" w:hAnsi="Arial" w:cs="Arial"/>
          <w:sz w:val="24"/>
          <w:szCs w:val="24"/>
        </w:rPr>
        <w:t xml:space="preserve">The report links to the Police and Crime Plan Governance and assurance priorities.  </w:t>
      </w:r>
    </w:p>
    <w:p w:rsidR="00D42C40" w:rsidP="007B7C9D" w:rsidRDefault="00D42C40" w14:paraId="0D758378"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171981" w14:paraId="12667B02" w14:textId="77777777">
        <w:tc>
          <w:tcPr>
            <w:tcW w:w="9242" w:type="dxa"/>
          </w:tcPr>
          <w:p w:rsidRPr="00826D93" w:rsidR="00A547F3" w:rsidP="003D17AC" w:rsidRDefault="00A547F3" w14:paraId="704140F9"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Changes in Legislation or other Legal Considerations</w:t>
            </w:r>
          </w:p>
        </w:tc>
      </w:tr>
    </w:tbl>
    <w:p w:rsidRPr="0069013F" w:rsidR="00A547F3" w:rsidP="007B7C9D" w:rsidRDefault="00A547F3" w14:paraId="0089BA98" w14:textId="77777777">
      <w:pPr>
        <w:pStyle w:val="NoSpacing"/>
        <w:jc w:val="both"/>
        <w:rPr>
          <w:rFonts w:ascii="Arial" w:hAnsi="Arial" w:cs="Arial"/>
          <w:sz w:val="24"/>
          <w:szCs w:val="24"/>
        </w:rPr>
      </w:pPr>
    </w:p>
    <w:p w:rsidR="00A547F3" w:rsidP="00B4667D" w:rsidRDefault="00A547F3" w14:paraId="3EC81BE8" w14:textId="77777777">
      <w:pPr>
        <w:spacing w:line="240" w:lineRule="auto"/>
        <w:ind w:left="720" w:hanging="720"/>
        <w:jc w:val="both"/>
        <w:rPr>
          <w:rFonts w:cs="Arial"/>
          <w:szCs w:val="24"/>
        </w:rPr>
      </w:pPr>
      <w:r w:rsidRPr="009362DE">
        <w:rPr>
          <w:rFonts w:cs="Arial"/>
          <w:szCs w:val="24"/>
        </w:rPr>
        <w:t>10.1</w:t>
      </w:r>
      <w:r w:rsidRPr="009362DE">
        <w:rPr>
          <w:rFonts w:cs="Arial"/>
          <w:szCs w:val="24"/>
        </w:rPr>
        <w:tab/>
      </w:r>
      <w:r>
        <w:rPr>
          <w:rFonts w:cs="Arial"/>
          <w:szCs w:val="24"/>
        </w:rPr>
        <w:t>None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36E9F1E7" w14:textId="77777777">
        <w:tc>
          <w:tcPr>
            <w:tcW w:w="9242" w:type="dxa"/>
          </w:tcPr>
          <w:p w:rsidR="00A547F3" w:rsidP="003D17AC" w:rsidRDefault="00A547F3" w14:paraId="1DE36016"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 xml:space="preserve"> </w:t>
            </w:r>
            <w:r w:rsidRPr="00826D93">
              <w:rPr>
                <w:rFonts w:ascii="Arial" w:hAnsi="Arial" w:cs="Arial"/>
                <w:b/>
                <w:sz w:val="24"/>
                <w:szCs w:val="24"/>
              </w:rPr>
              <w:t>Details of outcome of consultation</w:t>
            </w:r>
          </w:p>
        </w:tc>
      </w:tr>
    </w:tbl>
    <w:p w:rsidR="00A547F3" w:rsidP="007B7C9D" w:rsidRDefault="00A547F3" w14:paraId="47F1F074" w14:textId="77777777">
      <w:pPr>
        <w:pStyle w:val="NoSpacing"/>
        <w:jc w:val="both"/>
        <w:rPr>
          <w:rFonts w:ascii="Arial" w:hAnsi="Arial" w:cs="Arial"/>
          <w:sz w:val="24"/>
          <w:szCs w:val="24"/>
        </w:rPr>
      </w:pPr>
    </w:p>
    <w:p w:rsidR="00A547F3" w:rsidP="00500CDD" w:rsidRDefault="00A547F3" w14:paraId="27A25B33" w14:textId="77777777">
      <w:pPr>
        <w:pStyle w:val="NoSpacing"/>
        <w:ind w:left="720" w:hanging="720"/>
        <w:jc w:val="both"/>
        <w:rPr>
          <w:rFonts w:ascii="Arial" w:hAnsi="Arial" w:cs="Arial"/>
          <w:sz w:val="24"/>
          <w:szCs w:val="24"/>
        </w:rPr>
      </w:pPr>
      <w:r>
        <w:rPr>
          <w:rFonts w:ascii="Arial" w:hAnsi="Arial" w:cs="Arial"/>
          <w:sz w:val="24"/>
          <w:szCs w:val="24"/>
        </w:rPr>
        <w:t>11.1</w:t>
      </w:r>
      <w:r>
        <w:rPr>
          <w:rFonts w:ascii="Arial" w:hAnsi="Arial" w:cs="Arial"/>
          <w:sz w:val="24"/>
          <w:szCs w:val="24"/>
        </w:rPr>
        <w:tab/>
        <w:t>The Head of the Professional Standards Directorate has been consulted on this report.</w:t>
      </w:r>
      <w:r>
        <w:rPr>
          <w:rFonts w:ascii="Arial" w:hAnsi="Arial" w:cs="Arial"/>
          <w:sz w:val="24"/>
          <w:szCs w:val="24"/>
        </w:rPr>
        <w:tab/>
      </w:r>
      <w:r>
        <w:rPr>
          <w:rFonts w:ascii="Arial" w:hAnsi="Arial" w:cs="Arial"/>
          <w:sz w:val="24"/>
          <w:szCs w:val="24"/>
        </w:rPr>
        <w:tab/>
      </w:r>
    </w:p>
    <w:p w:rsidR="00A547F3" w:rsidP="007B7C9D" w:rsidRDefault="00A547F3" w14:paraId="1A916AD4"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171981" w14:paraId="61D04215" w14:textId="77777777">
        <w:tc>
          <w:tcPr>
            <w:tcW w:w="9242" w:type="dxa"/>
          </w:tcPr>
          <w:p w:rsidR="00A547F3" w:rsidP="007B7C9D" w:rsidRDefault="00A547F3" w14:paraId="57BBFC70" w14:textId="77777777">
            <w:pPr>
              <w:pStyle w:val="NoSpacing"/>
              <w:ind w:left="426" w:hanging="426"/>
              <w:jc w:val="both"/>
              <w:rPr>
                <w:rFonts w:ascii="Arial" w:hAnsi="Arial" w:cs="Arial"/>
                <w:b/>
                <w:sz w:val="24"/>
                <w:szCs w:val="24"/>
              </w:rPr>
            </w:pPr>
            <w:r>
              <w:rPr>
                <w:rFonts w:ascii="Arial" w:hAnsi="Arial" w:cs="Arial"/>
                <w:b/>
                <w:sz w:val="24"/>
                <w:szCs w:val="24"/>
              </w:rPr>
              <w:t xml:space="preserve">12. </w:t>
            </w:r>
            <w:r>
              <w:rPr>
                <w:rFonts w:ascii="Arial" w:hAnsi="Arial" w:cs="Arial"/>
                <w:b/>
                <w:sz w:val="24"/>
                <w:szCs w:val="24"/>
              </w:rPr>
              <w:tab/>
              <w:t>Appendices</w:t>
            </w:r>
          </w:p>
        </w:tc>
      </w:tr>
    </w:tbl>
    <w:p w:rsidRPr="0069013F" w:rsidR="00A547F3" w:rsidP="007B7C9D" w:rsidRDefault="00A547F3" w14:paraId="0D8400F7" w14:textId="77777777">
      <w:pPr>
        <w:pStyle w:val="NoSpacing"/>
        <w:jc w:val="both"/>
        <w:rPr>
          <w:rFonts w:ascii="Arial" w:hAnsi="Arial" w:cs="Arial"/>
          <w:sz w:val="24"/>
          <w:szCs w:val="24"/>
        </w:rPr>
      </w:pPr>
    </w:p>
    <w:p w:rsidRPr="0049638E" w:rsidR="004543CB" w:rsidP="00970DB7" w:rsidRDefault="00A547F3" w14:paraId="1C25B556" w14:textId="77777777">
      <w:pPr>
        <w:rPr>
          <w:b/>
          <w:bCs/>
        </w:rPr>
      </w:pPr>
      <w:r>
        <w:rPr>
          <w:rFonts w:cs="Arial"/>
          <w:szCs w:val="24"/>
        </w:rPr>
        <w:t>12.1</w:t>
      </w:r>
      <w:r>
        <w:rPr>
          <w:rFonts w:cs="Arial"/>
          <w:szCs w:val="24"/>
        </w:rPr>
        <w:tab/>
      </w:r>
      <w:r w:rsidR="00970DB7">
        <w:rPr>
          <w:rFonts w:cs="Arial"/>
          <w:szCs w:val="24"/>
        </w:rPr>
        <w:t>N/A</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121FD2" w14:paraId="3C5E2F39" w14:textId="77777777">
        <w:tc>
          <w:tcPr>
            <w:tcW w:w="9242" w:type="dxa"/>
          </w:tcPr>
          <w:p w:rsidR="00A547F3" w:rsidP="00121FD2" w:rsidRDefault="00A547F3" w14:paraId="6DAA6128" w14:textId="77777777">
            <w:pPr>
              <w:pStyle w:val="NoSpacing"/>
              <w:ind w:left="426" w:hanging="426"/>
              <w:jc w:val="both"/>
              <w:rPr>
                <w:rFonts w:ascii="Arial" w:hAnsi="Arial" w:cs="Arial"/>
                <w:b/>
                <w:sz w:val="24"/>
                <w:szCs w:val="24"/>
              </w:rPr>
            </w:pPr>
            <w:r>
              <w:rPr>
                <w:rFonts w:ascii="Arial" w:hAnsi="Arial" w:cs="Arial"/>
                <w:b/>
                <w:sz w:val="24"/>
                <w:szCs w:val="24"/>
              </w:rPr>
              <w:t xml:space="preserve">13. </w:t>
            </w:r>
            <w:r>
              <w:rPr>
                <w:rFonts w:ascii="Arial" w:hAnsi="Arial" w:cs="Arial"/>
                <w:b/>
                <w:sz w:val="24"/>
                <w:szCs w:val="24"/>
              </w:rPr>
              <w:tab/>
            </w:r>
            <w:r w:rsidRPr="0058075D">
              <w:rPr>
                <w:rFonts w:ascii="Arial" w:hAnsi="Arial" w:cs="Arial"/>
                <w:b/>
                <w:sz w:val="24"/>
                <w:szCs w:val="24"/>
              </w:rPr>
              <w:t>Background Papers (relevant for Police and Crime Panel Only)</w:t>
            </w:r>
          </w:p>
        </w:tc>
      </w:tr>
    </w:tbl>
    <w:p w:rsidR="00A547F3" w:rsidP="00262D35" w:rsidRDefault="00A547F3" w14:paraId="04466292" w14:textId="77777777">
      <w:pPr>
        <w:pStyle w:val="NoSpacing"/>
        <w:jc w:val="both"/>
        <w:rPr>
          <w:rFonts w:ascii="Arial" w:hAnsi="Arial" w:cs="Arial"/>
          <w:sz w:val="24"/>
          <w:szCs w:val="24"/>
        </w:rPr>
      </w:pPr>
    </w:p>
    <w:p w:rsidR="00A547F3" w:rsidP="00262D35" w:rsidRDefault="00A547F3" w14:paraId="1B402BBF" w14:textId="77777777">
      <w:pPr>
        <w:pStyle w:val="NoSpacing"/>
        <w:numPr>
          <w:ilvl w:val="0"/>
          <w:numId w:val="12"/>
        </w:numPr>
        <w:ind w:hanging="720"/>
        <w:jc w:val="both"/>
        <w:rPr>
          <w:rFonts w:ascii="Arial" w:hAnsi="Arial" w:cs="Arial"/>
          <w:sz w:val="24"/>
          <w:szCs w:val="24"/>
        </w:rPr>
      </w:pPr>
      <w:r>
        <w:rPr>
          <w:rFonts w:ascii="Arial" w:hAnsi="Arial" w:cs="Arial"/>
          <w:sz w:val="24"/>
          <w:szCs w:val="24"/>
        </w:rPr>
        <w:t>N/A</w:t>
      </w:r>
    </w:p>
    <w:sectPr w:rsidR="00A547F3" w:rsidSect="00C25020">
      <w:footerReference w:type="default" r:id="rId7"/>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A17" w14:textId="77777777" w:rsidR="00922B92" w:rsidRDefault="00922B92">
      <w:pPr>
        <w:pStyle w:val="NoSpacing"/>
      </w:pPr>
      <w:r>
        <w:separator/>
      </w:r>
    </w:p>
  </w:endnote>
  <w:endnote w:type="continuationSeparator" w:id="0">
    <w:p w14:paraId="3D834FDA" w14:textId="77777777" w:rsidR="00922B92" w:rsidRDefault="00922B92">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2084" w14:textId="79085AA4" w:rsidR="00203347" w:rsidRDefault="00203347">
    <w:pPr>
      <w:pStyle w:val="Footer"/>
      <w:jc w:val="center"/>
    </w:pPr>
    <w:r>
      <w:fldChar w:fldCharType="begin"/>
    </w:r>
    <w:r>
      <w:instrText xml:space="preserve"> PAGE   \* MERGEFORMAT </w:instrText>
    </w:r>
    <w:r>
      <w:fldChar w:fldCharType="separate"/>
    </w:r>
    <w:r w:rsidR="008C45AE">
      <w:rPr>
        <w:noProof/>
      </w:rPr>
      <w:t>6</w:t>
    </w:r>
    <w:r>
      <w:rPr>
        <w:noProof/>
      </w:rPr>
      <w:fldChar w:fldCharType="end"/>
    </w:r>
  </w:p>
  <w:p w14:paraId="41296DC6" w14:textId="77777777" w:rsidR="00203347" w:rsidRDefault="0020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EA43" w14:textId="77777777" w:rsidR="00922B92" w:rsidRDefault="00922B92">
      <w:pPr>
        <w:pStyle w:val="NoSpacing"/>
      </w:pPr>
      <w:r>
        <w:separator/>
      </w:r>
    </w:p>
  </w:footnote>
  <w:footnote w:type="continuationSeparator" w:id="0">
    <w:p w14:paraId="1B8684A5" w14:textId="77777777" w:rsidR="00922B92" w:rsidRDefault="00922B92">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C35"/>
    <w:multiLevelType w:val="multilevel"/>
    <w:tmpl w:val="81A886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3EA4BF5"/>
    <w:multiLevelType w:val="hybridMultilevel"/>
    <w:tmpl w:val="91260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1AE6B77"/>
    <w:multiLevelType w:val="hybridMultilevel"/>
    <w:tmpl w:val="042C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6A1CE1"/>
    <w:multiLevelType w:val="hybridMultilevel"/>
    <w:tmpl w:val="48F089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25714A6"/>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10"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6887740"/>
    <w:multiLevelType w:val="multilevel"/>
    <w:tmpl w:val="81A886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2CD75EF9"/>
    <w:multiLevelType w:val="multilevel"/>
    <w:tmpl w:val="1ACA0F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D012B2"/>
    <w:multiLevelType w:val="hybridMultilevel"/>
    <w:tmpl w:val="BE9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53E11"/>
    <w:multiLevelType w:val="hybridMultilevel"/>
    <w:tmpl w:val="C4244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61C2F"/>
    <w:multiLevelType w:val="hybridMultilevel"/>
    <w:tmpl w:val="D5ACA4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E6F2CD4"/>
    <w:multiLevelType w:val="hybridMultilevel"/>
    <w:tmpl w:val="D50A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63DB2"/>
    <w:multiLevelType w:val="hybridMultilevel"/>
    <w:tmpl w:val="18B4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E4C43ED"/>
    <w:multiLevelType w:val="hybridMultilevel"/>
    <w:tmpl w:val="287CA1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0D743D"/>
    <w:multiLevelType w:val="hybridMultilevel"/>
    <w:tmpl w:val="1E7CFC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5B758F3"/>
    <w:multiLevelType w:val="hybridMultilevel"/>
    <w:tmpl w:val="A84AC45A"/>
    <w:lvl w:ilvl="0" w:tplc="08090001">
      <w:start w:val="1"/>
      <w:numFmt w:val="bullet"/>
      <w:lvlText w:val=""/>
      <w:lvlJc w:val="left"/>
      <w:pPr>
        <w:ind w:left="1440" w:hanging="360"/>
      </w:pPr>
      <w:rPr>
        <w:rFonts w:ascii="Symbol" w:hAnsi="Symbol" w:hint="default"/>
      </w:rPr>
    </w:lvl>
    <w:lvl w:ilvl="1" w:tplc="6B6A3FD2">
      <w:numFmt w:val="bullet"/>
      <w:lvlText w:val=""/>
      <w:lvlJc w:val="left"/>
      <w:pPr>
        <w:ind w:left="2160" w:hanging="360"/>
      </w:pPr>
      <w:rPr>
        <w:rFonts w:ascii="Wingdings" w:eastAsia="Calibri" w:hAnsi="Wingdings"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A950F1"/>
    <w:multiLevelType w:val="multilevel"/>
    <w:tmpl w:val="FEF6C8E6"/>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07CD2"/>
    <w:multiLevelType w:val="hybridMultilevel"/>
    <w:tmpl w:val="6F349BF4"/>
    <w:lvl w:ilvl="0" w:tplc="A5FE79B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8DD07A3"/>
    <w:multiLevelType w:val="hybridMultilevel"/>
    <w:tmpl w:val="386E3B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1"/>
  </w:num>
  <w:num w:numId="2">
    <w:abstractNumId w:val="26"/>
  </w:num>
  <w:num w:numId="3">
    <w:abstractNumId w:val="5"/>
  </w:num>
  <w:num w:numId="4">
    <w:abstractNumId w:val="14"/>
  </w:num>
  <w:num w:numId="5">
    <w:abstractNumId w:val="20"/>
  </w:num>
  <w:num w:numId="6">
    <w:abstractNumId w:val="11"/>
  </w:num>
  <w:num w:numId="7">
    <w:abstractNumId w:val="6"/>
  </w:num>
  <w:num w:numId="8">
    <w:abstractNumId w:val="3"/>
  </w:num>
  <w:num w:numId="9">
    <w:abstractNumId w:val="7"/>
  </w:num>
  <w:num w:numId="10">
    <w:abstractNumId w:val="9"/>
  </w:num>
  <w:num w:numId="11">
    <w:abstractNumId w:val="29"/>
  </w:num>
  <w:num w:numId="12">
    <w:abstractNumId w:val="10"/>
  </w:num>
  <w:num w:numId="13">
    <w:abstractNumId w:val="8"/>
  </w:num>
  <w:num w:numId="14">
    <w:abstractNumId w:val="13"/>
  </w:num>
  <w:num w:numId="15">
    <w:abstractNumId w:val="27"/>
  </w:num>
  <w:num w:numId="16">
    <w:abstractNumId w:val="24"/>
  </w:num>
  <w:num w:numId="17">
    <w:abstractNumId w:val="4"/>
  </w:num>
  <w:num w:numId="18">
    <w:abstractNumId w:val="15"/>
  </w:num>
  <w:num w:numId="19">
    <w:abstractNumId w:val="25"/>
  </w:num>
  <w:num w:numId="20">
    <w:abstractNumId w:val="2"/>
  </w:num>
  <w:num w:numId="21">
    <w:abstractNumId w:val="19"/>
  </w:num>
  <w:num w:numId="22">
    <w:abstractNumId w:val="1"/>
  </w:num>
  <w:num w:numId="23">
    <w:abstractNumId w:val="0"/>
  </w:num>
  <w:num w:numId="24">
    <w:abstractNumId w:val="12"/>
  </w:num>
  <w:num w:numId="25">
    <w:abstractNumId w:val="16"/>
  </w:num>
  <w:num w:numId="26">
    <w:abstractNumId w:val="28"/>
  </w:num>
  <w:num w:numId="27">
    <w:abstractNumId w:val="22"/>
  </w:num>
  <w:num w:numId="28">
    <w:abstractNumId w:val="23"/>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04B47"/>
    <w:rsid w:val="000050A6"/>
    <w:rsid w:val="00011143"/>
    <w:rsid w:val="000146E4"/>
    <w:rsid w:val="00016125"/>
    <w:rsid w:val="00020ACB"/>
    <w:rsid w:val="000606A1"/>
    <w:rsid w:val="00062300"/>
    <w:rsid w:val="00066A26"/>
    <w:rsid w:val="000B5981"/>
    <w:rsid w:val="000D0251"/>
    <w:rsid w:val="000D5ADB"/>
    <w:rsid w:val="000E4A64"/>
    <w:rsid w:val="000E6B42"/>
    <w:rsid w:val="0010203E"/>
    <w:rsid w:val="00106C85"/>
    <w:rsid w:val="00116FCF"/>
    <w:rsid w:val="001218B6"/>
    <w:rsid w:val="00121FD2"/>
    <w:rsid w:val="00124787"/>
    <w:rsid w:val="00133644"/>
    <w:rsid w:val="001663BE"/>
    <w:rsid w:val="00171981"/>
    <w:rsid w:val="001719FB"/>
    <w:rsid w:val="00174D24"/>
    <w:rsid w:val="00176F77"/>
    <w:rsid w:val="00183D46"/>
    <w:rsid w:val="00187FAC"/>
    <w:rsid w:val="00190345"/>
    <w:rsid w:val="00196534"/>
    <w:rsid w:val="001C0E0D"/>
    <w:rsid w:val="001E4EE9"/>
    <w:rsid w:val="001F7C13"/>
    <w:rsid w:val="00203347"/>
    <w:rsid w:val="0021718B"/>
    <w:rsid w:val="00222D7A"/>
    <w:rsid w:val="00224F4B"/>
    <w:rsid w:val="00232A6C"/>
    <w:rsid w:val="00243739"/>
    <w:rsid w:val="002456B0"/>
    <w:rsid w:val="00251522"/>
    <w:rsid w:val="0025311E"/>
    <w:rsid w:val="00253143"/>
    <w:rsid w:val="00260500"/>
    <w:rsid w:val="00261DFD"/>
    <w:rsid w:val="00262D35"/>
    <w:rsid w:val="00274D7F"/>
    <w:rsid w:val="0028142F"/>
    <w:rsid w:val="00286D4F"/>
    <w:rsid w:val="002A5D10"/>
    <w:rsid w:val="002B438F"/>
    <w:rsid w:val="002C3B64"/>
    <w:rsid w:val="002C6EB3"/>
    <w:rsid w:val="002D0ABD"/>
    <w:rsid w:val="002D0BA9"/>
    <w:rsid w:val="002D0DD2"/>
    <w:rsid w:val="002D74F6"/>
    <w:rsid w:val="002E433B"/>
    <w:rsid w:val="002F003B"/>
    <w:rsid w:val="002F2575"/>
    <w:rsid w:val="002F7982"/>
    <w:rsid w:val="00321B03"/>
    <w:rsid w:val="00323E76"/>
    <w:rsid w:val="0034091A"/>
    <w:rsid w:val="00352128"/>
    <w:rsid w:val="00361216"/>
    <w:rsid w:val="00363F9B"/>
    <w:rsid w:val="003710E5"/>
    <w:rsid w:val="00375EF5"/>
    <w:rsid w:val="003920DD"/>
    <w:rsid w:val="003B02B4"/>
    <w:rsid w:val="003B1383"/>
    <w:rsid w:val="003D17AC"/>
    <w:rsid w:val="003E5F54"/>
    <w:rsid w:val="00402BB6"/>
    <w:rsid w:val="004111C0"/>
    <w:rsid w:val="00423757"/>
    <w:rsid w:val="00433092"/>
    <w:rsid w:val="00433843"/>
    <w:rsid w:val="004423F2"/>
    <w:rsid w:val="004543CB"/>
    <w:rsid w:val="004574B2"/>
    <w:rsid w:val="00464C9D"/>
    <w:rsid w:val="0046561D"/>
    <w:rsid w:val="00492F09"/>
    <w:rsid w:val="004A397B"/>
    <w:rsid w:val="004B2D09"/>
    <w:rsid w:val="004C4F04"/>
    <w:rsid w:val="004D3483"/>
    <w:rsid w:val="004D5F95"/>
    <w:rsid w:val="004E2B73"/>
    <w:rsid w:val="004E72D1"/>
    <w:rsid w:val="00500CDD"/>
    <w:rsid w:val="00514BF4"/>
    <w:rsid w:val="0051507C"/>
    <w:rsid w:val="005230A3"/>
    <w:rsid w:val="0053202D"/>
    <w:rsid w:val="00547AB2"/>
    <w:rsid w:val="00573188"/>
    <w:rsid w:val="00573E42"/>
    <w:rsid w:val="0058075D"/>
    <w:rsid w:val="00586B08"/>
    <w:rsid w:val="00591BE3"/>
    <w:rsid w:val="005952A4"/>
    <w:rsid w:val="005A4AEE"/>
    <w:rsid w:val="005B1383"/>
    <w:rsid w:val="005B28B5"/>
    <w:rsid w:val="005D1205"/>
    <w:rsid w:val="005E3ACE"/>
    <w:rsid w:val="005E6561"/>
    <w:rsid w:val="005F0064"/>
    <w:rsid w:val="0060343F"/>
    <w:rsid w:val="00603B6B"/>
    <w:rsid w:val="006076B2"/>
    <w:rsid w:val="00607880"/>
    <w:rsid w:val="006345C4"/>
    <w:rsid w:val="00644303"/>
    <w:rsid w:val="00653837"/>
    <w:rsid w:val="00667B42"/>
    <w:rsid w:val="0069013F"/>
    <w:rsid w:val="006A2047"/>
    <w:rsid w:val="006A3923"/>
    <w:rsid w:val="006B02DB"/>
    <w:rsid w:val="006C07E3"/>
    <w:rsid w:val="006C1635"/>
    <w:rsid w:val="006D0679"/>
    <w:rsid w:val="006E257D"/>
    <w:rsid w:val="006F1E34"/>
    <w:rsid w:val="00701470"/>
    <w:rsid w:val="0070747B"/>
    <w:rsid w:val="0071334E"/>
    <w:rsid w:val="007144AC"/>
    <w:rsid w:val="007230CB"/>
    <w:rsid w:val="00726282"/>
    <w:rsid w:val="00734089"/>
    <w:rsid w:val="007349AC"/>
    <w:rsid w:val="00762747"/>
    <w:rsid w:val="00766AD5"/>
    <w:rsid w:val="007759DC"/>
    <w:rsid w:val="007853DC"/>
    <w:rsid w:val="007B7C9D"/>
    <w:rsid w:val="007C3330"/>
    <w:rsid w:val="007C6807"/>
    <w:rsid w:val="007D1661"/>
    <w:rsid w:val="007D6D36"/>
    <w:rsid w:val="007E2613"/>
    <w:rsid w:val="00801A24"/>
    <w:rsid w:val="00811F4E"/>
    <w:rsid w:val="008228F6"/>
    <w:rsid w:val="00822E7F"/>
    <w:rsid w:val="00826D93"/>
    <w:rsid w:val="00830BB2"/>
    <w:rsid w:val="0083102B"/>
    <w:rsid w:val="00840A45"/>
    <w:rsid w:val="00861571"/>
    <w:rsid w:val="00867B78"/>
    <w:rsid w:val="00874454"/>
    <w:rsid w:val="00877D1C"/>
    <w:rsid w:val="00882F8A"/>
    <w:rsid w:val="008832BF"/>
    <w:rsid w:val="00884B9A"/>
    <w:rsid w:val="008B2351"/>
    <w:rsid w:val="008C45AE"/>
    <w:rsid w:val="008D1581"/>
    <w:rsid w:val="008D3BC6"/>
    <w:rsid w:val="008E4B1E"/>
    <w:rsid w:val="009204D8"/>
    <w:rsid w:val="00922B92"/>
    <w:rsid w:val="00922E3F"/>
    <w:rsid w:val="009362DE"/>
    <w:rsid w:val="009411F6"/>
    <w:rsid w:val="00961004"/>
    <w:rsid w:val="00964863"/>
    <w:rsid w:val="00964DA6"/>
    <w:rsid w:val="009665F0"/>
    <w:rsid w:val="00970DB7"/>
    <w:rsid w:val="0097521C"/>
    <w:rsid w:val="00983E3C"/>
    <w:rsid w:val="00991EC0"/>
    <w:rsid w:val="009A211D"/>
    <w:rsid w:val="009B4DBE"/>
    <w:rsid w:val="009C16B8"/>
    <w:rsid w:val="009C6303"/>
    <w:rsid w:val="009D3252"/>
    <w:rsid w:val="009E4183"/>
    <w:rsid w:val="009E7712"/>
    <w:rsid w:val="009F6FBD"/>
    <w:rsid w:val="00A0146D"/>
    <w:rsid w:val="00A0247F"/>
    <w:rsid w:val="00A241A4"/>
    <w:rsid w:val="00A37E47"/>
    <w:rsid w:val="00A45EF4"/>
    <w:rsid w:val="00A52ADC"/>
    <w:rsid w:val="00A547F3"/>
    <w:rsid w:val="00A5781E"/>
    <w:rsid w:val="00A60247"/>
    <w:rsid w:val="00A81B9F"/>
    <w:rsid w:val="00A82977"/>
    <w:rsid w:val="00A94E7A"/>
    <w:rsid w:val="00AA2FA1"/>
    <w:rsid w:val="00AA7A2A"/>
    <w:rsid w:val="00AC3183"/>
    <w:rsid w:val="00AC3F55"/>
    <w:rsid w:val="00AF1ECD"/>
    <w:rsid w:val="00B10960"/>
    <w:rsid w:val="00B11A47"/>
    <w:rsid w:val="00B11E84"/>
    <w:rsid w:val="00B13E6E"/>
    <w:rsid w:val="00B14958"/>
    <w:rsid w:val="00B2530E"/>
    <w:rsid w:val="00B36714"/>
    <w:rsid w:val="00B462B3"/>
    <w:rsid w:val="00B4667D"/>
    <w:rsid w:val="00B63DF4"/>
    <w:rsid w:val="00B6583F"/>
    <w:rsid w:val="00B66053"/>
    <w:rsid w:val="00BB2526"/>
    <w:rsid w:val="00BC1697"/>
    <w:rsid w:val="00BD0A4C"/>
    <w:rsid w:val="00BD7883"/>
    <w:rsid w:val="00BE00C6"/>
    <w:rsid w:val="00BE0B11"/>
    <w:rsid w:val="00BE1448"/>
    <w:rsid w:val="00BE16F2"/>
    <w:rsid w:val="00BE2373"/>
    <w:rsid w:val="00BE6AD4"/>
    <w:rsid w:val="00BE7BDE"/>
    <w:rsid w:val="00C00C7B"/>
    <w:rsid w:val="00C13B77"/>
    <w:rsid w:val="00C17939"/>
    <w:rsid w:val="00C25020"/>
    <w:rsid w:val="00C5146C"/>
    <w:rsid w:val="00C80BF4"/>
    <w:rsid w:val="00C865F4"/>
    <w:rsid w:val="00C9247D"/>
    <w:rsid w:val="00C92718"/>
    <w:rsid w:val="00CA7BDD"/>
    <w:rsid w:val="00CB0898"/>
    <w:rsid w:val="00CC0E8C"/>
    <w:rsid w:val="00CD3C9B"/>
    <w:rsid w:val="00CD6474"/>
    <w:rsid w:val="00CE0CE0"/>
    <w:rsid w:val="00CF1A43"/>
    <w:rsid w:val="00D07BB0"/>
    <w:rsid w:val="00D16499"/>
    <w:rsid w:val="00D313C9"/>
    <w:rsid w:val="00D42C40"/>
    <w:rsid w:val="00D463B4"/>
    <w:rsid w:val="00D475D2"/>
    <w:rsid w:val="00D574E0"/>
    <w:rsid w:val="00D61E7D"/>
    <w:rsid w:val="00D66590"/>
    <w:rsid w:val="00D70141"/>
    <w:rsid w:val="00D7574A"/>
    <w:rsid w:val="00D77E00"/>
    <w:rsid w:val="00D9274A"/>
    <w:rsid w:val="00DA7C2C"/>
    <w:rsid w:val="00DC112D"/>
    <w:rsid w:val="00DC3D79"/>
    <w:rsid w:val="00DE298D"/>
    <w:rsid w:val="00E16C8C"/>
    <w:rsid w:val="00E36E8A"/>
    <w:rsid w:val="00E606C9"/>
    <w:rsid w:val="00E60BF8"/>
    <w:rsid w:val="00E8187C"/>
    <w:rsid w:val="00E84B2E"/>
    <w:rsid w:val="00E90BB2"/>
    <w:rsid w:val="00E916C4"/>
    <w:rsid w:val="00E939C2"/>
    <w:rsid w:val="00EA681B"/>
    <w:rsid w:val="00EB36F8"/>
    <w:rsid w:val="00EC65F7"/>
    <w:rsid w:val="00EE6F72"/>
    <w:rsid w:val="00EF2E5C"/>
    <w:rsid w:val="00EF4B3F"/>
    <w:rsid w:val="00EF6F0E"/>
    <w:rsid w:val="00F00E2D"/>
    <w:rsid w:val="00F11985"/>
    <w:rsid w:val="00F255BB"/>
    <w:rsid w:val="00F33A9D"/>
    <w:rsid w:val="00F41D1C"/>
    <w:rsid w:val="00F47014"/>
    <w:rsid w:val="00F5311E"/>
    <w:rsid w:val="00F56221"/>
    <w:rsid w:val="00F81FA3"/>
    <w:rsid w:val="00F87086"/>
    <w:rsid w:val="00FA05AB"/>
    <w:rsid w:val="00FE60A7"/>
    <w:rsid w:val="00FF0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7E82D"/>
  <w15:docId w15:val="{93A0F457-9755-453A-B543-6655E58D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34"/>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345"/>
    <w:pPr>
      <w:ind w:left="720"/>
      <w:contextualSpacing/>
    </w:pPr>
    <w:rPr>
      <w:rFonts w:ascii="Calibri" w:hAnsi="Calibri"/>
      <w:sz w:val="22"/>
    </w:rPr>
  </w:style>
  <w:style w:type="paragraph" w:styleId="NoSpacing">
    <w:name w:val="No Spacing"/>
    <w:uiPriority w:val="1"/>
    <w:qFormat/>
    <w:rsid w:val="00A94E7A"/>
    <w:rPr>
      <w:sz w:val="22"/>
      <w:szCs w:val="22"/>
      <w:lang w:eastAsia="en-US"/>
    </w:rPr>
  </w:style>
  <w:style w:type="table" w:styleId="TableGrid">
    <w:name w:val="Table Grid"/>
    <w:basedOn w:val="TableNormal"/>
    <w:uiPriority w:val="99"/>
    <w:rsid w:val="001965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111C0"/>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sid w:val="004111C0"/>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sid w:val="004111C0"/>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1C0"/>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locked/>
    <w:rsid w:val="004111C0"/>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locked/>
    <w:rsid w:val="004111C0"/>
    <w:rPr>
      <w:rFonts w:ascii="Arial" w:hAnsi="Arial" w:cs="Times New Roman"/>
      <w:sz w:val="24"/>
      <w:lang w:eastAsia="en-US"/>
    </w:rPr>
  </w:style>
  <w:style w:type="character" w:styleId="Hyperlink">
    <w:name w:val="Hyperlink"/>
    <w:basedOn w:val="DefaultParagraphFont"/>
    <w:uiPriority w:val="99"/>
    <w:rsid w:val="00323E76"/>
    <w:rPr>
      <w:rFonts w:cs="Times New Roman"/>
      <w:color w:val="0000FF"/>
      <w:u w:val="single"/>
    </w:rPr>
  </w:style>
  <w:style w:type="paragraph" w:styleId="NormalWeb">
    <w:name w:val="Normal (Web)"/>
    <w:basedOn w:val="Normal"/>
    <w:uiPriority w:val="99"/>
    <w:unhideWhenUsed/>
    <w:rsid w:val="00607880"/>
    <w:pPr>
      <w:spacing w:before="100" w:beforeAutospacing="1" w:after="100" w:afterAutospacing="1" w:line="240" w:lineRule="auto"/>
    </w:pPr>
    <w:rPr>
      <w:rFonts w:ascii="Times New Roman" w:eastAsia="Times New Roman" w:hAnsi="Times New Roman"/>
      <w:szCs w:val="24"/>
      <w:lang w:eastAsia="en-GB"/>
    </w:rPr>
  </w:style>
  <w:style w:type="character" w:customStyle="1" w:styleId="hgkelc">
    <w:name w:val="hgkelc"/>
    <w:basedOn w:val="DefaultParagraphFont"/>
    <w:rsid w:val="0097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1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PCC report on Complaints, Investigations, New and Open cases</dc:title>
  <dc:creator>c800059</dc:creator>
  <cp:lastModifiedBy>Emma Lau</cp:lastModifiedBy>
  <cp:revision>9</cp:revision>
  <cp:lastPrinted>2022-03-29T12:39:00Z</cp:lastPrinted>
  <dcterms:created xsi:type="dcterms:W3CDTF">2022-11-03T13:16:00Z</dcterms:created>
  <dcterms:modified xsi:type="dcterms:W3CDTF">2022-12-06T14:13:54Z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2022-03-17T10:21:25Z</vt:lpwstr>
  </property>
  <property fmtid="{D5CDD505-2E9C-101B-9397-08002B2CF9AE}" pid="4" name="MSIP_Label_0c9a534a-49dd-43c4-b4e5-f206b4dbf0e4_Method">
    <vt:lpwstr>Privileged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79046f75-981f-44a9-8c13-1e6e64a0593f</vt:lpwstr>
  </property>
  <property fmtid="{D5CDD505-2E9C-101B-9397-08002B2CF9AE}" pid="8" name="MSIP_Label_0c9a534a-49dd-43c4-b4e5-f206b4dbf0e4_ContentBits">
    <vt:lpwstr>0</vt:lpwstr>
  </property>
</Properties>
</file>