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6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2417"/>
        <w:gridCol w:w="7251"/>
      </w:tblGrid>
      <w:tr w:rsidRPr="0010295E" w:rsidR="009B623D" w:rsidTr="00C74400" w14:paraId="2068DD29" w14:textId="77777777">
        <w:trPr>
          <w:trHeight w:val="271"/>
        </w:trPr>
        <w:tc>
          <w:tcPr>
            <w:tcW w:w="2417" w:type="dxa"/>
            <w:shd w:val="clear" w:color="auto" w:fill="auto"/>
          </w:tcPr>
          <w:p w:rsidRPr="0010295E" w:rsidR="009B623D" w:rsidP="00D22663" w:rsidRDefault="009B623D" w14:paraId="7742014A" w14:textId="77777777">
            <w:pPr>
              <w:pStyle w:val="NoSpacing"/>
              <w:jc w:val="both"/>
              <w:rPr>
                <w:rFonts w:ascii="Arial" w:hAnsi="Arial" w:cs="Arial"/>
                <w:b/>
                <w:sz w:val="24"/>
                <w:szCs w:val="24"/>
              </w:rPr>
            </w:pPr>
            <w:r w:rsidRPr="0010295E">
              <w:rPr>
                <w:rFonts w:ascii="Arial" w:hAnsi="Arial" w:cs="Arial"/>
                <w:b/>
                <w:sz w:val="24"/>
                <w:szCs w:val="24"/>
              </w:rPr>
              <w:t>Public/Non-Public*</w:t>
            </w:r>
          </w:p>
        </w:tc>
        <w:tc>
          <w:tcPr>
            <w:tcW w:w="7251" w:type="dxa"/>
            <w:shd w:val="clear" w:color="auto" w:fill="auto"/>
          </w:tcPr>
          <w:p w:rsidRPr="0010295E" w:rsidR="009B623D" w:rsidP="00D22663" w:rsidRDefault="009B623D" w14:paraId="3A386433" w14:textId="77777777">
            <w:pPr>
              <w:pStyle w:val="NoSpacing"/>
              <w:jc w:val="both"/>
              <w:rPr>
                <w:rFonts w:ascii="Arial" w:hAnsi="Arial" w:cs="Arial"/>
                <w:b/>
                <w:sz w:val="24"/>
                <w:szCs w:val="24"/>
              </w:rPr>
            </w:pPr>
          </w:p>
        </w:tc>
      </w:tr>
      <w:tr w:rsidRPr="0010295E" w:rsidR="009B623D" w:rsidTr="00C74400" w14:paraId="02F9E4B7" w14:textId="77777777">
        <w:trPr>
          <w:trHeight w:val="410"/>
        </w:trPr>
        <w:tc>
          <w:tcPr>
            <w:tcW w:w="2417" w:type="dxa"/>
            <w:shd w:val="clear" w:color="auto" w:fill="auto"/>
          </w:tcPr>
          <w:p w:rsidRPr="00254A6C" w:rsidR="009B623D" w:rsidP="00D22663" w:rsidRDefault="009B623D" w14:paraId="71F91F32" w14:textId="77777777">
            <w:pPr>
              <w:pStyle w:val="NoSpacing"/>
              <w:jc w:val="both"/>
              <w:rPr>
                <w:rFonts w:ascii="Arial" w:hAnsi="Arial" w:cs="Arial"/>
                <w:b/>
                <w:sz w:val="24"/>
                <w:szCs w:val="24"/>
              </w:rPr>
            </w:pPr>
            <w:r w:rsidRPr="00254A6C">
              <w:rPr>
                <w:rFonts w:ascii="Arial" w:hAnsi="Arial" w:cs="Arial"/>
                <w:b/>
                <w:sz w:val="24"/>
                <w:szCs w:val="24"/>
              </w:rPr>
              <w:t>Report to:</w:t>
            </w:r>
          </w:p>
        </w:tc>
        <w:tc>
          <w:tcPr>
            <w:tcW w:w="7251" w:type="dxa"/>
            <w:shd w:val="clear" w:color="auto" w:fill="auto"/>
          </w:tcPr>
          <w:p w:rsidRPr="0010295E" w:rsidR="009B623D" w:rsidP="00D22663" w:rsidRDefault="009B623D" w14:paraId="7D2EAEEE" w14:textId="77777777">
            <w:pPr>
              <w:pStyle w:val="NoSpacing"/>
              <w:outlineLvl w:val="0"/>
              <w:rPr>
                <w:rFonts w:ascii="Arial" w:hAnsi="Arial" w:cs="Arial"/>
                <w:b/>
                <w:sz w:val="24"/>
                <w:szCs w:val="24"/>
              </w:rPr>
            </w:pPr>
            <w:r>
              <w:rPr>
                <w:rFonts w:ascii="Arial" w:hAnsi="Arial" w:cs="Arial"/>
                <w:b/>
                <w:sz w:val="24"/>
                <w:szCs w:val="24"/>
              </w:rPr>
              <w:t>PCC</w:t>
            </w:r>
          </w:p>
        </w:tc>
      </w:tr>
      <w:tr w:rsidRPr="0010295E" w:rsidR="009B623D" w:rsidTr="00C74400" w14:paraId="6110DAC3" w14:textId="77777777">
        <w:trPr>
          <w:trHeight w:val="271"/>
        </w:trPr>
        <w:tc>
          <w:tcPr>
            <w:tcW w:w="2417" w:type="dxa"/>
            <w:shd w:val="clear" w:color="auto" w:fill="auto"/>
          </w:tcPr>
          <w:p w:rsidRPr="00254A6C" w:rsidR="009B623D" w:rsidP="00D22663" w:rsidRDefault="009B623D" w14:paraId="47C7E485" w14:textId="77777777">
            <w:pPr>
              <w:pStyle w:val="NoSpacing"/>
              <w:jc w:val="both"/>
              <w:rPr>
                <w:rFonts w:ascii="Arial" w:hAnsi="Arial" w:cs="Arial"/>
                <w:b/>
                <w:sz w:val="24"/>
                <w:szCs w:val="24"/>
              </w:rPr>
            </w:pPr>
            <w:r w:rsidRPr="00254A6C">
              <w:rPr>
                <w:rFonts w:ascii="Arial" w:hAnsi="Arial" w:cs="Arial"/>
                <w:b/>
                <w:sz w:val="24"/>
                <w:szCs w:val="24"/>
              </w:rPr>
              <w:t>Date of Meeting:</w:t>
            </w:r>
          </w:p>
        </w:tc>
        <w:tc>
          <w:tcPr>
            <w:tcW w:w="7251" w:type="dxa"/>
            <w:shd w:val="clear" w:color="auto" w:fill="auto"/>
          </w:tcPr>
          <w:p w:rsidRPr="002E080A" w:rsidR="009B623D" w:rsidP="00D22663" w:rsidRDefault="00C74400" w14:paraId="5A96AA51" w14:textId="16A5A08C">
            <w:pPr>
              <w:pStyle w:val="NoSpacing"/>
              <w:jc w:val="both"/>
              <w:rPr>
                <w:rFonts w:ascii="Arial" w:hAnsi="Arial" w:cs="Arial"/>
                <w:b/>
                <w:sz w:val="24"/>
                <w:szCs w:val="24"/>
                <w:highlight w:val="yellow"/>
              </w:rPr>
            </w:pPr>
            <w:r>
              <w:rPr>
                <w:rFonts w:ascii="Arial" w:hAnsi="Arial" w:cs="Arial"/>
                <w:b/>
                <w:sz w:val="24"/>
                <w:szCs w:val="24"/>
              </w:rPr>
              <w:t>29</w:t>
            </w:r>
            <w:r w:rsidRPr="00C74400">
              <w:rPr>
                <w:rFonts w:ascii="Arial" w:hAnsi="Arial" w:cs="Arial"/>
                <w:b/>
                <w:sz w:val="24"/>
                <w:szCs w:val="24"/>
                <w:vertAlign w:val="superscript"/>
              </w:rPr>
              <w:t>th</w:t>
            </w:r>
            <w:r>
              <w:rPr>
                <w:rFonts w:ascii="Arial" w:hAnsi="Arial" w:cs="Arial"/>
                <w:b/>
                <w:sz w:val="24"/>
                <w:szCs w:val="24"/>
              </w:rPr>
              <w:t xml:space="preserve"> November </w:t>
            </w:r>
            <w:r w:rsidRPr="00AE5071" w:rsidR="009B623D">
              <w:rPr>
                <w:rFonts w:ascii="Arial" w:hAnsi="Arial" w:cs="Arial"/>
                <w:b/>
                <w:sz w:val="24"/>
                <w:szCs w:val="24"/>
              </w:rPr>
              <w:t>2022</w:t>
            </w:r>
          </w:p>
        </w:tc>
      </w:tr>
      <w:tr w:rsidRPr="0010295E" w:rsidR="009B623D" w:rsidTr="00C74400" w14:paraId="60611258" w14:textId="77777777">
        <w:trPr>
          <w:trHeight w:val="271"/>
        </w:trPr>
        <w:tc>
          <w:tcPr>
            <w:tcW w:w="2417" w:type="dxa"/>
            <w:shd w:val="clear" w:color="auto" w:fill="auto"/>
          </w:tcPr>
          <w:p w:rsidRPr="0010295E" w:rsidR="009B623D" w:rsidP="00D22663" w:rsidRDefault="009B623D" w14:paraId="5EA555E9" w14:textId="77777777">
            <w:pPr>
              <w:pStyle w:val="NoSpacing"/>
              <w:jc w:val="both"/>
              <w:rPr>
                <w:rFonts w:ascii="Arial" w:hAnsi="Arial" w:cs="Arial"/>
                <w:b/>
                <w:sz w:val="24"/>
                <w:szCs w:val="24"/>
              </w:rPr>
            </w:pPr>
            <w:r w:rsidRPr="0010295E">
              <w:rPr>
                <w:rFonts w:ascii="Arial" w:hAnsi="Arial" w:cs="Arial"/>
                <w:b/>
                <w:sz w:val="24"/>
                <w:szCs w:val="24"/>
              </w:rPr>
              <w:t>Report of:</w:t>
            </w:r>
          </w:p>
        </w:tc>
        <w:tc>
          <w:tcPr>
            <w:tcW w:w="7251" w:type="dxa"/>
            <w:shd w:val="clear" w:color="auto" w:fill="auto"/>
          </w:tcPr>
          <w:p w:rsidRPr="0010295E" w:rsidR="009B623D" w:rsidP="00D22663" w:rsidRDefault="009B623D" w14:paraId="07DDBB24" w14:textId="77777777">
            <w:pPr>
              <w:pStyle w:val="NoSpacing"/>
              <w:tabs>
                <w:tab w:val="left" w:pos="2700"/>
              </w:tabs>
              <w:jc w:val="both"/>
              <w:rPr>
                <w:rFonts w:ascii="Arial" w:hAnsi="Arial" w:cs="Arial"/>
                <w:b/>
                <w:sz w:val="24"/>
                <w:szCs w:val="24"/>
              </w:rPr>
            </w:pPr>
            <w:r>
              <w:rPr>
                <w:rFonts w:ascii="Arial" w:hAnsi="Arial" w:cs="Arial"/>
                <w:b/>
                <w:sz w:val="24"/>
                <w:szCs w:val="24"/>
              </w:rPr>
              <w:t>Mark Kimberley</w:t>
            </w:r>
          </w:p>
        </w:tc>
      </w:tr>
      <w:tr w:rsidRPr="0010295E" w:rsidR="009B623D" w:rsidTr="00C74400" w14:paraId="42F06E92" w14:textId="77777777">
        <w:trPr>
          <w:trHeight w:val="271"/>
        </w:trPr>
        <w:tc>
          <w:tcPr>
            <w:tcW w:w="2417" w:type="dxa"/>
            <w:shd w:val="clear" w:color="auto" w:fill="auto"/>
          </w:tcPr>
          <w:p w:rsidRPr="0010295E" w:rsidR="009B623D" w:rsidP="00D22663" w:rsidRDefault="009B623D" w14:paraId="070991A3" w14:textId="77777777">
            <w:pPr>
              <w:pStyle w:val="NoSpacing"/>
              <w:jc w:val="both"/>
              <w:rPr>
                <w:rFonts w:ascii="Arial" w:hAnsi="Arial" w:cs="Arial"/>
                <w:b/>
                <w:sz w:val="24"/>
                <w:szCs w:val="24"/>
              </w:rPr>
            </w:pPr>
            <w:r w:rsidRPr="0010295E">
              <w:rPr>
                <w:rFonts w:ascii="Arial" w:hAnsi="Arial" w:cs="Arial"/>
                <w:b/>
                <w:sz w:val="24"/>
                <w:szCs w:val="24"/>
              </w:rPr>
              <w:t>Report Author:</w:t>
            </w:r>
          </w:p>
        </w:tc>
        <w:tc>
          <w:tcPr>
            <w:tcW w:w="7251" w:type="dxa"/>
            <w:shd w:val="clear" w:color="auto" w:fill="auto"/>
          </w:tcPr>
          <w:p w:rsidRPr="0010295E" w:rsidR="009B623D" w:rsidP="00D22663" w:rsidRDefault="009B623D" w14:paraId="1524E1A0" w14:textId="77777777">
            <w:pPr>
              <w:pStyle w:val="NoSpacing"/>
              <w:jc w:val="both"/>
              <w:rPr>
                <w:rFonts w:ascii="Arial" w:hAnsi="Arial" w:cs="Arial"/>
                <w:b/>
                <w:sz w:val="24"/>
                <w:szCs w:val="24"/>
              </w:rPr>
            </w:pPr>
            <w:r>
              <w:rPr>
                <w:rFonts w:ascii="Arial" w:hAnsi="Arial" w:cs="Arial"/>
                <w:b/>
                <w:sz w:val="24"/>
                <w:szCs w:val="24"/>
              </w:rPr>
              <w:t>Mark Kimberley</w:t>
            </w:r>
          </w:p>
        </w:tc>
      </w:tr>
      <w:tr w:rsidRPr="0010295E" w:rsidR="009B623D" w:rsidTr="00C74400" w14:paraId="3BE23B5B" w14:textId="77777777">
        <w:trPr>
          <w:trHeight w:val="271"/>
        </w:trPr>
        <w:tc>
          <w:tcPr>
            <w:tcW w:w="2417" w:type="dxa"/>
            <w:shd w:val="clear" w:color="auto" w:fill="auto"/>
          </w:tcPr>
          <w:p w:rsidRPr="0010295E" w:rsidR="009B623D" w:rsidP="00D22663" w:rsidRDefault="009B623D" w14:paraId="1CCEC0C4" w14:textId="77777777">
            <w:pPr>
              <w:pStyle w:val="NoSpacing"/>
              <w:jc w:val="both"/>
              <w:rPr>
                <w:rFonts w:ascii="Arial" w:hAnsi="Arial" w:cs="Arial"/>
                <w:b/>
                <w:sz w:val="24"/>
                <w:szCs w:val="24"/>
              </w:rPr>
            </w:pPr>
            <w:r w:rsidRPr="0010295E">
              <w:rPr>
                <w:rFonts w:ascii="Arial" w:hAnsi="Arial" w:cs="Arial"/>
                <w:b/>
                <w:sz w:val="24"/>
                <w:szCs w:val="24"/>
              </w:rPr>
              <w:t>E-mail:</w:t>
            </w:r>
          </w:p>
        </w:tc>
        <w:tc>
          <w:tcPr>
            <w:tcW w:w="7251" w:type="dxa"/>
            <w:shd w:val="clear" w:color="auto" w:fill="auto"/>
          </w:tcPr>
          <w:p w:rsidRPr="0010295E" w:rsidR="009B623D" w:rsidP="00D22663" w:rsidRDefault="009B623D" w14:paraId="42C5DDFE" w14:textId="77777777">
            <w:pPr>
              <w:pStyle w:val="NoSpacing"/>
              <w:jc w:val="both"/>
              <w:rPr>
                <w:rFonts w:ascii="Arial" w:hAnsi="Arial" w:cs="Arial"/>
                <w:b/>
                <w:sz w:val="24"/>
                <w:szCs w:val="24"/>
              </w:rPr>
            </w:pPr>
            <w:r>
              <w:rPr>
                <w:rFonts w:ascii="Arial" w:hAnsi="Arial" w:cs="Arial"/>
                <w:b/>
                <w:sz w:val="24"/>
                <w:szCs w:val="24"/>
              </w:rPr>
              <w:t>Mark.kimberley1</w:t>
            </w:r>
            <w:r w:rsidRPr="0010295E">
              <w:rPr>
                <w:rFonts w:ascii="Arial" w:hAnsi="Arial" w:cs="Arial"/>
                <w:b/>
                <w:sz w:val="24"/>
                <w:szCs w:val="24"/>
              </w:rPr>
              <w:t>@</w:t>
            </w:r>
            <w:r>
              <w:rPr>
                <w:rFonts w:ascii="Arial" w:hAnsi="Arial" w:cs="Arial"/>
                <w:b/>
                <w:sz w:val="24"/>
                <w:szCs w:val="24"/>
              </w:rPr>
              <w:t>n</w:t>
            </w:r>
            <w:r w:rsidRPr="0010295E">
              <w:rPr>
                <w:rFonts w:ascii="Arial" w:hAnsi="Arial" w:cs="Arial"/>
                <w:b/>
                <w:sz w:val="24"/>
                <w:szCs w:val="24"/>
              </w:rPr>
              <w:t>ott</w:t>
            </w:r>
            <w:r>
              <w:rPr>
                <w:rFonts w:ascii="Arial" w:hAnsi="Arial" w:cs="Arial"/>
                <w:b/>
                <w:sz w:val="24"/>
                <w:szCs w:val="24"/>
              </w:rPr>
              <w:t>s.</w:t>
            </w:r>
            <w:r w:rsidRPr="0010295E">
              <w:rPr>
                <w:rFonts w:ascii="Arial" w:hAnsi="Arial" w:cs="Arial"/>
                <w:b/>
                <w:sz w:val="24"/>
                <w:szCs w:val="24"/>
              </w:rPr>
              <w:t>police.uk</w:t>
            </w:r>
          </w:p>
        </w:tc>
      </w:tr>
      <w:tr w:rsidRPr="0010295E" w:rsidR="009B623D" w:rsidTr="00C74400" w14:paraId="2138598C" w14:textId="77777777">
        <w:trPr>
          <w:trHeight w:val="286"/>
        </w:trPr>
        <w:tc>
          <w:tcPr>
            <w:tcW w:w="2417" w:type="dxa"/>
            <w:shd w:val="clear" w:color="auto" w:fill="auto"/>
          </w:tcPr>
          <w:p w:rsidRPr="0010295E" w:rsidR="009B623D" w:rsidP="00D22663" w:rsidRDefault="009B623D" w14:paraId="710BE2FA" w14:textId="77777777">
            <w:pPr>
              <w:pStyle w:val="NoSpacing"/>
              <w:jc w:val="both"/>
              <w:rPr>
                <w:rFonts w:ascii="Arial" w:hAnsi="Arial" w:cs="Arial"/>
                <w:b/>
                <w:sz w:val="24"/>
                <w:szCs w:val="24"/>
              </w:rPr>
            </w:pPr>
            <w:r w:rsidRPr="0010295E">
              <w:rPr>
                <w:rFonts w:ascii="Arial" w:hAnsi="Arial" w:cs="Arial"/>
                <w:b/>
                <w:sz w:val="24"/>
                <w:szCs w:val="24"/>
              </w:rPr>
              <w:t>Other Contacts:</w:t>
            </w:r>
          </w:p>
        </w:tc>
        <w:tc>
          <w:tcPr>
            <w:tcW w:w="7251" w:type="dxa"/>
            <w:shd w:val="clear" w:color="auto" w:fill="auto"/>
          </w:tcPr>
          <w:p w:rsidRPr="0010295E" w:rsidR="009B623D" w:rsidP="00D22663" w:rsidRDefault="009B623D" w14:paraId="700F979D" w14:textId="77777777">
            <w:pPr>
              <w:pStyle w:val="NoSpacing"/>
              <w:jc w:val="both"/>
              <w:rPr>
                <w:rFonts w:ascii="Arial" w:hAnsi="Arial" w:cs="Arial"/>
                <w:b/>
                <w:sz w:val="24"/>
                <w:szCs w:val="24"/>
              </w:rPr>
            </w:pPr>
            <w:r>
              <w:rPr>
                <w:rFonts w:ascii="Arial" w:hAnsi="Arial" w:cs="Arial"/>
                <w:b/>
                <w:sz w:val="24"/>
                <w:szCs w:val="24"/>
              </w:rPr>
              <w:t>Maria Fox</w:t>
            </w:r>
          </w:p>
        </w:tc>
      </w:tr>
      <w:tr w:rsidRPr="0010295E" w:rsidR="009B623D" w:rsidTr="00C74400" w14:paraId="4CFFE129" w14:textId="77777777">
        <w:trPr>
          <w:trHeight w:val="286"/>
        </w:trPr>
        <w:tc>
          <w:tcPr>
            <w:tcW w:w="2417" w:type="dxa"/>
            <w:shd w:val="clear" w:color="auto" w:fill="auto"/>
          </w:tcPr>
          <w:p w:rsidRPr="0010295E" w:rsidR="009B623D" w:rsidP="00D22663" w:rsidRDefault="009B623D" w14:paraId="09D01EEA" w14:textId="77777777">
            <w:pPr>
              <w:pStyle w:val="NoSpacing"/>
              <w:jc w:val="both"/>
              <w:rPr>
                <w:rFonts w:ascii="Arial" w:hAnsi="Arial" w:cs="Arial"/>
                <w:b/>
                <w:sz w:val="24"/>
                <w:szCs w:val="24"/>
              </w:rPr>
            </w:pPr>
            <w:r w:rsidRPr="0010295E">
              <w:rPr>
                <w:rFonts w:ascii="Arial" w:hAnsi="Arial" w:cs="Arial"/>
                <w:b/>
                <w:sz w:val="24"/>
                <w:szCs w:val="24"/>
              </w:rPr>
              <w:t>Agenda Item:</w:t>
            </w:r>
          </w:p>
        </w:tc>
        <w:tc>
          <w:tcPr>
            <w:tcW w:w="7251" w:type="dxa"/>
            <w:shd w:val="clear" w:color="auto" w:fill="auto"/>
          </w:tcPr>
          <w:p w:rsidRPr="0010295E" w:rsidR="009B623D" w:rsidP="00D22663" w:rsidRDefault="009B623D" w14:paraId="103E9C53" w14:textId="77777777">
            <w:pPr>
              <w:pStyle w:val="NoSpacing"/>
              <w:jc w:val="both"/>
              <w:rPr>
                <w:rFonts w:ascii="Arial" w:hAnsi="Arial" w:cs="Arial"/>
                <w:b/>
                <w:sz w:val="24"/>
                <w:szCs w:val="24"/>
              </w:rPr>
            </w:pPr>
            <w:r>
              <w:rPr>
                <w:rFonts w:ascii="Arial" w:hAnsi="Arial" w:cs="Arial"/>
                <w:b/>
                <w:sz w:val="24"/>
                <w:szCs w:val="24"/>
              </w:rPr>
              <w:t>N/A</w:t>
            </w:r>
          </w:p>
        </w:tc>
      </w:tr>
    </w:tbl>
    <w:p w:rsidRPr="0010295E" w:rsidR="009B623D" w:rsidP="009B623D" w:rsidRDefault="009B623D" w14:paraId="0F6DC6E7" w14:textId="77777777">
      <w:pPr>
        <w:pStyle w:val="NoSpacing"/>
        <w:jc w:val="both"/>
        <w:outlineLvl w:val="0"/>
        <w:rPr>
          <w:rFonts w:ascii="Arial" w:hAnsi="Arial" w:cs="Arial"/>
          <w:b/>
          <w:sz w:val="28"/>
          <w:szCs w:val="28"/>
        </w:rPr>
      </w:pPr>
    </w:p>
    <w:p w:rsidRPr="00672152" w:rsidR="009B623D" w:rsidP="009B623D" w:rsidRDefault="009B623D" w14:paraId="017439B4" w14:textId="1E1BBD2D">
      <w:pPr>
        <w:pStyle w:val="NoSpacing"/>
        <w:jc w:val="both"/>
        <w:outlineLvl w:val="0"/>
        <w:rPr>
          <w:rFonts w:ascii="Arial" w:hAnsi="Arial" w:cs="Arial"/>
          <w:b/>
          <w:sz w:val="28"/>
          <w:szCs w:val="28"/>
          <w:u w:val="single"/>
        </w:rPr>
      </w:pPr>
      <w:r w:rsidRPr="00672152">
        <w:rPr>
          <w:rFonts w:ascii="Arial" w:hAnsi="Arial" w:cs="Arial"/>
          <w:b/>
          <w:sz w:val="28"/>
          <w:szCs w:val="28"/>
          <w:u w:val="single"/>
        </w:rPr>
        <w:t xml:space="preserve">Treasury Management Interim Report 2022/23 as at </w:t>
      </w:r>
      <w:r w:rsidRPr="00672152" w:rsidR="00672152">
        <w:rPr>
          <w:rFonts w:ascii="Arial" w:hAnsi="Arial" w:cs="Arial"/>
          <w:b/>
          <w:sz w:val="28"/>
          <w:szCs w:val="28"/>
          <w:u w:val="single"/>
        </w:rPr>
        <w:t>31</w:t>
      </w:r>
      <w:r w:rsidRPr="00672152" w:rsidR="00672152">
        <w:rPr>
          <w:rFonts w:ascii="Arial" w:hAnsi="Arial" w:cs="Arial"/>
          <w:b/>
          <w:sz w:val="28"/>
          <w:szCs w:val="28"/>
          <w:u w:val="single"/>
          <w:vertAlign w:val="superscript"/>
        </w:rPr>
        <w:t>st</w:t>
      </w:r>
      <w:r w:rsidRPr="00672152" w:rsidR="00672152">
        <w:rPr>
          <w:rFonts w:ascii="Arial" w:hAnsi="Arial" w:cs="Arial"/>
          <w:b/>
          <w:sz w:val="28"/>
          <w:szCs w:val="28"/>
          <w:u w:val="single"/>
        </w:rPr>
        <w:t xml:space="preserve"> October</w:t>
      </w:r>
      <w:r w:rsidRPr="00672152" w:rsidR="00C74400">
        <w:rPr>
          <w:rFonts w:ascii="Arial" w:hAnsi="Arial" w:cs="Arial"/>
          <w:b/>
          <w:sz w:val="28"/>
          <w:szCs w:val="28"/>
          <w:u w:val="single"/>
        </w:rPr>
        <w:t xml:space="preserve"> </w:t>
      </w:r>
      <w:r w:rsidRPr="00672152">
        <w:rPr>
          <w:rFonts w:ascii="Arial" w:hAnsi="Arial" w:cs="Arial"/>
          <w:b/>
          <w:sz w:val="28"/>
          <w:szCs w:val="28"/>
          <w:u w:val="single"/>
        </w:rPr>
        <w:t>2022.</w:t>
      </w:r>
    </w:p>
    <w:p w:rsidRPr="00511A13" w:rsidR="009B623D" w:rsidP="009B623D" w:rsidRDefault="009B623D" w14:paraId="62D66131" w14:textId="77777777">
      <w:pPr>
        <w:pStyle w:val="NoSpacing"/>
        <w:jc w:val="both"/>
        <w:outlineLvl w:val="0"/>
        <w:rPr>
          <w:rFonts w:ascii="Arial" w:hAnsi="Arial" w:cs="Arial"/>
          <w:sz w:val="24"/>
          <w:szCs w:val="24"/>
        </w:rPr>
      </w:pPr>
    </w:p>
    <w:tbl>
      <w:tblPr>
        <w:tblW w:w="96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634"/>
      </w:tblGrid>
      <w:tr w:rsidRPr="00784C93" w:rsidR="009B623D" w:rsidTr="00C74400" w14:paraId="30909CA1" w14:textId="77777777">
        <w:tc>
          <w:tcPr>
            <w:tcW w:w="9634" w:type="dxa"/>
          </w:tcPr>
          <w:p w:rsidRPr="00784C93" w:rsidR="009B623D" w:rsidP="00C74400" w:rsidRDefault="009B623D" w14:paraId="555B747C" w14:textId="77777777">
            <w:pPr>
              <w:pStyle w:val="NoSpacing"/>
              <w:numPr>
                <w:ilvl w:val="0"/>
                <w:numId w:val="14"/>
              </w:numPr>
              <w:jc w:val="both"/>
              <w:rPr>
                <w:rFonts w:ascii="Arial" w:hAnsi="Arial" w:cs="Arial"/>
                <w:b/>
                <w:sz w:val="24"/>
                <w:szCs w:val="24"/>
              </w:rPr>
            </w:pPr>
            <w:r w:rsidRPr="00784C93">
              <w:rPr>
                <w:rFonts w:ascii="Arial" w:hAnsi="Arial" w:cs="Arial"/>
                <w:b/>
                <w:sz w:val="24"/>
                <w:szCs w:val="24"/>
              </w:rPr>
              <w:t>Purpose of the Report</w:t>
            </w:r>
          </w:p>
        </w:tc>
      </w:tr>
    </w:tbl>
    <w:p w:rsidRPr="00784C93" w:rsidR="009B623D" w:rsidP="009B623D" w:rsidRDefault="009B623D" w14:paraId="36D58F53" w14:textId="77777777">
      <w:pPr>
        <w:pStyle w:val="NoSpacing"/>
        <w:jc w:val="both"/>
        <w:rPr>
          <w:rFonts w:ascii="Arial" w:hAnsi="Arial" w:cs="Arial"/>
          <w:sz w:val="24"/>
          <w:szCs w:val="24"/>
        </w:rPr>
      </w:pPr>
    </w:p>
    <w:p w:rsidRPr="00861F1A" w:rsidR="009B623D" w:rsidP="00C74400" w:rsidRDefault="009B623D" w14:paraId="39E83DE4" w14:textId="2489ACD9">
      <w:pPr>
        <w:jc w:val="both"/>
        <w:rPr>
          <w:rFonts w:cs="Arial"/>
          <w:szCs w:val="24"/>
        </w:rPr>
      </w:pPr>
      <w:r w:rsidRPr="00861F1A">
        <w:rPr>
          <w:rFonts w:cs="Arial"/>
          <w:szCs w:val="24"/>
        </w:rPr>
        <w:t>The purpose of this report is to provide the PCC of the performance monitoring of the 2022/23 Prudential Code Indicators, and to advise of a revised level of the Authorise</w:t>
      </w:r>
      <w:r>
        <w:rPr>
          <w:rFonts w:cs="Arial"/>
          <w:szCs w:val="24"/>
        </w:rPr>
        <w:t>d</w:t>
      </w:r>
      <w:r w:rsidRPr="00861F1A">
        <w:rPr>
          <w:rFonts w:cs="Arial"/>
          <w:szCs w:val="24"/>
        </w:rPr>
        <w:t xml:space="preserve"> Limit and Operational Boundary, following a breach of the current limits on </w:t>
      </w:r>
      <w:r w:rsidR="00C74400">
        <w:rPr>
          <w:rFonts w:cs="Arial"/>
          <w:szCs w:val="24"/>
        </w:rPr>
        <w:t>14</w:t>
      </w:r>
      <w:r w:rsidRPr="00C74400" w:rsidR="00C74400">
        <w:rPr>
          <w:rFonts w:cs="Arial"/>
          <w:szCs w:val="24"/>
          <w:vertAlign w:val="superscript"/>
        </w:rPr>
        <w:t>th</w:t>
      </w:r>
      <w:r w:rsidR="00C74400">
        <w:rPr>
          <w:rFonts w:cs="Arial"/>
          <w:szCs w:val="24"/>
        </w:rPr>
        <w:t xml:space="preserve"> </w:t>
      </w:r>
      <w:r w:rsidRPr="00861F1A">
        <w:rPr>
          <w:rFonts w:cs="Arial"/>
          <w:szCs w:val="24"/>
        </w:rPr>
        <w:t>October 2022.</w:t>
      </w:r>
    </w:p>
    <w:p w:rsidRPr="00861F1A" w:rsidR="009B623D" w:rsidP="00C74400" w:rsidRDefault="009B623D" w14:paraId="1D9B2C65" w14:textId="77777777">
      <w:pPr>
        <w:jc w:val="both"/>
        <w:rPr>
          <w:rFonts w:cs="Arial"/>
          <w:szCs w:val="24"/>
        </w:rPr>
      </w:pPr>
      <w:r w:rsidRPr="00861F1A">
        <w:rPr>
          <w:rFonts w:cs="Arial"/>
          <w:szCs w:val="24"/>
        </w:rPr>
        <w:t>Regular reporting of Treasury activity is required in line with the Treasury Management Strategy, and this report meets these requirements. The PCC should note that reporting of in year treasury management activity does not appear to have taken place since 2020-21.</w:t>
      </w:r>
    </w:p>
    <w:p w:rsidR="009B623D" w:rsidP="00C74400" w:rsidRDefault="009B623D" w14:paraId="6502ECFD" w14:textId="5FF6D7B9">
      <w:pPr>
        <w:jc w:val="both"/>
        <w:rPr>
          <w:rFonts w:cs="Arial"/>
          <w:szCs w:val="24"/>
        </w:rPr>
      </w:pPr>
      <w:r w:rsidRPr="00861F1A">
        <w:rPr>
          <w:rFonts w:cs="Arial"/>
          <w:szCs w:val="24"/>
        </w:rPr>
        <w:t xml:space="preserve">Attached at </w:t>
      </w:r>
      <w:r w:rsidR="00C74400">
        <w:rPr>
          <w:rFonts w:cs="Arial"/>
          <w:szCs w:val="24"/>
        </w:rPr>
        <w:t>A</w:t>
      </w:r>
      <w:r w:rsidRPr="00861F1A">
        <w:rPr>
          <w:rFonts w:cs="Arial"/>
          <w:szCs w:val="24"/>
        </w:rPr>
        <w:t>ppendix A is a</w:t>
      </w:r>
      <w:r w:rsidR="00C74400">
        <w:rPr>
          <w:rFonts w:cs="Arial"/>
          <w:szCs w:val="24"/>
        </w:rPr>
        <w:t xml:space="preserve">n updated and </w:t>
      </w:r>
      <w:r w:rsidRPr="00861F1A">
        <w:rPr>
          <w:rFonts w:cs="Arial"/>
          <w:szCs w:val="24"/>
        </w:rPr>
        <w:t xml:space="preserve">revised Treasury </w:t>
      </w:r>
      <w:r w:rsidR="00C74400">
        <w:rPr>
          <w:rFonts w:cs="Arial"/>
          <w:szCs w:val="24"/>
        </w:rPr>
        <w:t>M</w:t>
      </w:r>
      <w:r w:rsidRPr="00861F1A">
        <w:rPr>
          <w:rFonts w:cs="Arial"/>
          <w:szCs w:val="24"/>
        </w:rPr>
        <w:t xml:space="preserve">anagement </w:t>
      </w:r>
      <w:r w:rsidR="00C74400">
        <w:rPr>
          <w:rFonts w:cs="Arial"/>
          <w:szCs w:val="24"/>
        </w:rPr>
        <w:t>S</w:t>
      </w:r>
      <w:r w:rsidRPr="00861F1A">
        <w:rPr>
          <w:rFonts w:cs="Arial"/>
          <w:szCs w:val="24"/>
        </w:rPr>
        <w:t xml:space="preserve">trategy </w:t>
      </w:r>
      <w:r w:rsidR="00C74400">
        <w:rPr>
          <w:rFonts w:cs="Arial"/>
          <w:szCs w:val="24"/>
        </w:rPr>
        <w:t xml:space="preserve">for 2022-27 </w:t>
      </w:r>
      <w:r w:rsidRPr="00861F1A">
        <w:rPr>
          <w:rFonts w:cs="Arial"/>
          <w:szCs w:val="24"/>
        </w:rPr>
        <w:t>for approval.</w:t>
      </w:r>
    </w:p>
    <w:tbl>
      <w:tblPr>
        <w:tblW w:w="96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634"/>
      </w:tblGrid>
      <w:tr w:rsidRPr="008342BC" w:rsidR="009B623D" w:rsidTr="00C74400" w14:paraId="15C2647F" w14:textId="77777777">
        <w:tc>
          <w:tcPr>
            <w:tcW w:w="9634" w:type="dxa"/>
          </w:tcPr>
          <w:p w:rsidRPr="00511A13" w:rsidR="009B623D" w:rsidP="00C74400" w:rsidRDefault="009B623D" w14:paraId="3C4A9EFF" w14:textId="77777777">
            <w:pPr>
              <w:pStyle w:val="NoSpacing"/>
              <w:numPr>
                <w:ilvl w:val="0"/>
                <w:numId w:val="14"/>
              </w:numPr>
              <w:jc w:val="both"/>
              <w:rPr>
                <w:rFonts w:ascii="Arial" w:hAnsi="Arial" w:cs="Arial"/>
                <w:b/>
                <w:sz w:val="24"/>
                <w:szCs w:val="24"/>
              </w:rPr>
            </w:pPr>
            <w:r w:rsidRPr="00511A13">
              <w:rPr>
                <w:rFonts w:ascii="Arial" w:hAnsi="Arial" w:cs="Arial"/>
                <w:b/>
                <w:sz w:val="24"/>
                <w:szCs w:val="24"/>
              </w:rPr>
              <w:t>Recommendations</w:t>
            </w:r>
          </w:p>
        </w:tc>
      </w:tr>
    </w:tbl>
    <w:p w:rsidRPr="008342BC" w:rsidR="009B623D" w:rsidP="009B623D" w:rsidRDefault="009B623D" w14:paraId="5D961707" w14:textId="77777777">
      <w:pPr>
        <w:pStyle w:val="NoSpacing"/>
        <w:jc w:val="both"/>
        <w:rPr>
          <w:rFonts w:ascii="Arial" w:hAnsi="Arial" w:cs="Arial"/>
          <w:sz w:val="24"/>
          <w:szCs w:val="24"/>
          <w:highlight w:val="yellow"/>
        </w:rPr>
      </w:pPr>
    </w:p>
    <w:p w:rsidR="009B623D" w:rsidP="00C74400" w:rsidRDefault="009B623D" w14:paraId="61FE5EE7" w14:textId="5C4D3F59">
      <w:pPr>
        <w:pStyle w:val="NoSpacing"/>
        <w:numPr>
          <w:ilvl w:val="1"/>
          <w:numId w:val="14"/>
        </w:numPr>
        <w:tabs>
          <w:tab w:val="left" w:pos="709"/>
        </w:tabs>
        <w:ind w:firstLine="0"/>
        <w:jc w:val="both"/>
        <w:rPr>
          <w:rFonts w:ascii="Arial" w:hAnsi="Arial" w:cs="Arial"/>
          <w:sz w:val="24"/>
          <w:szCs w:val="24"/>
        </w:rPr>
      </w:pPr>
      <w:r>
        <w:rPr>
          <w:rFonts w:ascii="Arial" w:hAnsi="Arial" w:cs="Arial"/>
          <w:sz w:val="24"/>
          <w:szCs w:val="24"/>
        </w:rPr>
        <w:t>Recommendation 1</w:t>
      </w:r>
    </w:p>
    <w:p w:rsidR="00C74400" w:rsidP="00C74400" w:rsidRDefault="00C74400" w14:paraId="251FB4CB" w14:textId="77777777">
      <w:pPr>
        <w:pStyle w:val="NoSpacing"/>
        <w:tabs>
          <w:tab w:val="left" w:pos="709"/>
        </w:tabs>
        <w:ind w:left="709"/>
        <w:jc w:val="both"/>
        <w:rPr>
          <w:rFonts w:ascii="Arial" w:hAnsi="Arial" w:cs="Arial"/>
          <w:sz w:val="24"/>
          <w:szCs w:val="24"/>
        </w:rPr>
      </w:pPr>
      <w:r w:rsidRPr="003633B0">
        <w:rPr>
          <w:rFonts w:ascii="Arial" w:hAnsi="Arial" w:cs="Arial"/>
          <w:bCs/>
          <w:sz w:val="24"/>
          <w:szCs w:val="24"/>
        </w:rPr>
        <w:t>It is recommended</w:t>
      </w:r>
      <w:r w:rsidRPr="003633B0">
        <w:rPr>
          <w:rFonts w:ascii="Arial" w:hAnsi="Arial" w:cs="Arial"/>
          <w:sz w:val="24"/>
          <w:szCs w:val="24"/>
        </w:rPr>
        <w:t xml:space="preserve"> that the contents of the report are noted</w:t>
      </w:r>
      <w:r>
        <w:rPr>
          <w:rFonts w:ascii="Arial" w:hAnsi="Arial" w:cs="Arial"/>
          <w:sz w:val="24"/>
          <w:szCs w:val="24"/>
        </w:rPr>
        <w:t>, especially in respect of the reasons for the breach of the Authorised limit.</w:t>
      </w:r>
    </w:p>
    <w:p w:rsidR="00C74400" w:rsidP="00C74400" w:rsidRDefault="00C74400" w14:paraId="1A84120D" w14:textId="57B53298">
      <w:pPr>
        <w:pStyle w:val="NoSpacing"/>
        <w:tabs>
          <w:tab w:val="left" w:pos="709"/>
        </w:tabs>
        <w:jc w:val="both"/>
        <w:rPr>
          <w:rFonts w:ascii="Arial" w:hAnsi="Arial" w:cs="Arial"/>
          <w:sz w:val="24"/>
          <w:szCs w:val="24"/>
        </w:rPr>
      </w:pPr>
    </w:p>
    <w:p w:rsidR="00C74400" w:rsidP="00C74400" w:rsidRDefault="00C74400" w14:paraId="38EB3EE9" w14:textId="77F52163">
      <w:pPr>
        <w:pStyle w:val="NoSpacing"/>
        <w:numPr>
          <w:ilvl w:val="1"/>
          <w:numId w:val="14"/>
        </w:numPr>
        <w:tabs>
          <w:tab w:val="left" w:pos="709"/>
        </w:tabs>
        <w:ind w:firstLine="0"/>
        <w:jc w:val="both"/>
        <w:rPr>
          <w:rFonts w:ascii="Arial" w:hAnsi="Arial" w:cs="Arial"/>
          <w:sz w:val="24"/>
          <w:szCs w:val="24"/>
        </w:rPr>
      </w:pPr>
      <w:r>
        <w:rPr>
          <w:rFonts w:ascii="Arial" w:hAnsi="Arial" w:cs="Arial"/>
          <w:sz w:val="24"/>
          <w:szCs w:val="24"/>
        </w:rPr>
        <w:t xml:space="preserve">Recommendation </w:t>
      </w:r>
      <w:r w:rsidR="00E97E86">
        <w:rPr>
          <w:rFonts w:ascii="Arial" w:hAnsi="Arial" w:cs="Arial"/>
          <w:sz w:val="24"/>
          <w:szCs w:val="24"/>
        </w:rPr>
        <w:t>2</w:t>
      </w:r>
    </w:p>
    <w:p w:rsidR="00C74400" w:rsidP="00C74400" w:rsidRDefault="00C74400" w14:paraId="78C6CB5E" w14:textId="7BFF928C">
      <w:pPr>
        <w:pStyle w:val="NoSpacing"/>
        <w:tabs>
          <w:tab w:val="left" w:pos="709"/>
        </w:tabs>
        <w:ind w:left="709"/>
        <w:jc w:val="both"/>
        <w:rPr>
          <w:rFonts w:ascii="Arial" w:hAnsi="Arial" w:cs="Arial"/>
          <w:sz w:val="24"/>
          <w:szCs w:val="24"/>
        </w:rPr>
      </w:pPr>
      <w:r w:rsidRPr="00C74400">
        <w:rPr>
          <w:rFonts w:ascii="Arial" w:hAnsi="Arial" w:cs="Arial"/>
          <w:sz w:val="24"/>
          <w:szCs w:val="24"/>
        </w:rPr>
        <w:t xml:space="preserve">It is recommended that the </w:t>
      </w:r>
      <w:r w:rsidR="00E97E86">
        <w:rPr>
          <w:rFonts w:ascii="Arial" w:hAnsi="Arial" w:cs="Arial"/>
          <w:sz w:val="24"/>
          <w:szCs w:val="24"/>
        </w:rPr>
        <w:t xml:space="preserve">updated </w:t>
      </w:r>
      <w:r w:rsidRPr="00C74400">
        <w:rPr>
          <w:rFonts w:ascii="Arial" w:hAnsi="Arial" w:cs="Arial"/>
          <w:sz w:val="24"/>
          <w:szCs w:val="24"/>
        </w:rPr>
        <w:t xml:space="preserve">Treasury Management </w:t>
      </w:r>
      <w:r w:rsidR="00E97E86">
        <w:rPr>
          <w:rFonts w:ascii="Arial" w:hAnsi="Arial" w:cs="Arial"/>
          <w:sz w:val="24"/>
          <w:szCs w:val="24"/>
        </w:rPr>
        <w:t>S</w:t>
      </w:r>
      <w:r w:rsidRPr="00C74400">
        <w:rPr>
          <w:rFonts w:ascii="Arial" w:hAnsi="Arial" w:cs="Arial"/>
          <w:sz w:val="24"/>
          <w:szCs w:val="24"/>
        </w:rPr>
        <w:t>trategy at Appendix A is approved.</w:t>
      </w:r>
    </w:p>
    <w:p w:rsidR="00C74400" w:rsidP="00C74400" w:rsidRDefault="00C74400" w14:paraId="4230CDE3" w14:textId="77777777">
      <w:pPr>
        <w:pStyle w:val="NoSpacing"/>
        <w:tabs>
          <w:tab w:val="left" w:pos="709"/>
        </w:tabs>
        <w:ind w:left="709"/>
        <w:jc w:val="both"/>
        <w:rPr>
          <w:rFonts w:ascii="Arial" w:hAnsi="Arial" w:cs="Arial"/>
          <w:sz w:val="24"/>
          <w:szCs w:val="24"/>
        </w:rPr>
      </w:pPr>
    </w:p>
    <w:p w:rsidRPr="00C74400" w:rsidR="009B623D" w:rsidP="00BD0E27" w:rsidRDefault="00C74400" w14:paraId="06306F44" w14:textId="5C9A1805">
      <w:pPr>
        <w:pStyle w:val="NoSpacing"/>
        <w:numPr>
          <w:ilvl w:val="1"/>
          <w:numId w:val="14"/>
        </w:numPr>
        <w:tabs>
          <w:tab w:val="left" w:pos="709"/>
        </w:tabs>
        <w:ind w:left="709" w:hanging="709"/>
        <w:jc w:val="both"/>
        <w:rPr>
          <w:rFonts w:ascii="Arial" w:hAnsi="Arial" w:cs="Arial"/>
          <w:sz w:val="24"/>
          <w:szCs w:val="24"/>
        </w:rPr>
      </w:pPr>
      <w:r>
        <w:rPr>
          <w:rFonts w:ascii="Arial" w:hAnsi="Arial" w:cs="Arial"/>
          <w:sz w:val="24"/>
          <w:szCs w:val="24"/>
        </w:rPr>
        <w:t xml:space="preserve">Recommendation </w:t>
      </w:r>
      <w:r w:rsidR="00E97E86">
        <w:rPr>
          <w:rFonts w:ascii="Arial" w:hAnsi="Arial" w:cs="Arial"/>
          <w:sz w:val="24"/>
          <w:szCs w:val="24"/>
        </w:rPr>
        <w:t>3</w:t>
      </w:r>
      <w:r>
        <w:rPr>
          <w:rFonts w:ascii="Arial" w:hAnsi="Arial" w:cs="Arial"/>
          <w:sz w:val="24"/>
          <w:szCs w:val="24"/>
        </w:rPr>
        <w:t xml:space="preserve"> </w:t>
      </w:r>
    </w:p>
    <w:p w:rsidR="009B623D" w:rsidP="009B623D" w:rsidRDefault="009B623D" w14:paraId="71D5078C" w14:textId="328BFA48">
      <w:pPr>
        <w:pStyle w:val="NoSpacing"/>
        <w:tabs>
          <w:tab w:val="left" w:pos="709"/>
        </w:tabs>
        <w:ind w:left="709"/>
        <w:jc w:val="both"/>
        <w:rPr>
          <w:rFonts w:ascii="Arial" w:hAnsi="Arial" w:cs="Arial"/>
          <w:sz w:val="24"/>
          <w:szCs w:val="24"/>
        </w:rPr>
      </w:pPr>
      <w:r>
        <w:rPr>
          <w:rFonts w:ascii="Arial" w:hAnsi="Arial" w:cs="Arial"/>
          <w:sz w:val="24"/>
          <w:szCs w:val="24"/>
        </w:rPr>
        <w:t>It is recommended that this report is forwarded to the Joint Independent Audit Committee for their review and comment.</w:t>
      </w:r>
    </w:p>
    <w:p w:rsidR="009B623D" w:rsidP="009B623D" w:rsidRDefault="009B623D" w14:paraId="5E84A340" w14:textId="77777777">
      <w:pPr>
        <w:pStyle w:val="NoSpacing"/>
        <w:tabs>
          <w:tab w:val="left" w:pos="709"/>
        </w:tabs>
        <w:ind w:left="709"/>
        <w:jc w:val="both"/>
        <w:rPr>
          <w:rFonts w:ascii="Arial" w:hAnsi="Arial" w:cs="Arial"/>
          <w:sz w:val="24"/>
          <w:szCs w:val="24"/>
        </w:rPr>
      </w:pPr>
    </w:p>
    <w:p w:rsidR="009B623D" w:rsidP="009B623D" w:rsidRDefault="009B623D" w14:paraId="3DF86783" w14:textId="77777777">
      <w:pPr>
        <w:pStyle w:val="NoSpacing"/>
        <w:tabs>
          <w:tab w:val="left" w:pos="709"/>
        </w:tabs>
        <w:jc w:val="both"/>
        <w:rPr>
          <w:rFonts w:ascii="Arial" w:hAnsi="Arial" w:cs="Arial"/>
          <w:sz w:val="24"/>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242"/>
      </w:tblGrid>
      <w:tr w:rsidRPr="00E464B6" w:rsidR="009B623D" w:rsidTr="00D22663" w14:paraId="2EEF083C" w14:textId="77777777">
        <w:tc>
          <w:tcPr>
            <w:tcW w:w="9242" w:type="dxa"/>
          </w:tcPr>
          <w:p w:rsidRPr="00E464B6" w:rsidR="009B623D" w:rsidP="00C74400" w:rsidRDefault="009B623D" w14:paraId="7DA7F1AA" w14:textId="77777777">
            <w:pPr>
              <w:pStyle w:val="NoSpacing"/>
              <w:numPr>
                <w:ilvl w:val="0"/>
                <w:numId w:val="14"/>
              </w:numPr>
              <w:jc w:val="both"/>
              <w:rPr>
                <w:rFonts w:ascii="Arial" w:hAnsi="Arial" w:cs="Arial"/>
                <w:b/>
                <w:sz w:val="24"/>
                <w:szCs w:val="24"/>
              </w:rPr>
            </w:pPr>
            <w:r w:rsidRPr="00E464B6">
              <w:rPr>
                <w:rFonts w:ascii="Arial" w:hAnsi="Arial" w:cs="Arial"/>
                <w:b/>
                <w:sz w:val="24"/>
                <w:szCs w:val="24"/>
              </w:rPr>
              <w:t>Reasons for Recommendations</w:t>
            </w:r>
          </w:p>
        </w:tc>
      </w:tr>
    </w:tbl>
    <w:p w:rsidRPr="00E464B6" w:rsidR="009B623D" w:rsidP="009B623D" w:rsidRDefault="009B623D" w14:paraId="231BBAD8" w14:textId="77777777">
      <w:pPr>
        <w:pStyle w:val="NoSpacing"/>
        <w:ind w:left="928"/>
        <w:jc w:val="both"/>
        <w:rPr>
          <w:rFonts w:ascii="Arial" w:hAnsi="Arial" w:cs="Arial"/>
          <w:sz w:val="24"/>
          <w:szCs w:val="24"/>
        </w:rPr>
      </w:pPr>
    </w:p>
    <w:p w:rsidRPr="00C74400" w:rsidR="00C74400" w:rsidP="00C74400" w:rsidRDefault="009B623D" w14:paraId="79DBAA29" w14:textId="26E54C77">
      <w:pPr>
        <w:pStyle w:val="NoSpacing"/>
        <w:numPr>
          <w:ilvl w:val="1"/>
          <w:numId w:val="14"/>
        </w:numPr>
        <w:ind w:left="709" w:hanging="709"/>
        <w:jc w:val="both"/>
        <w:rPr>
          <w:rFonts w:ascii="Arial" w:hAnsi="Arial" w:cs="Arial"/>
          <w:sz w:val="24"/>
          <w:szCs w:val="24"/>
        </w:rPr>
      </w:pPr>
      <w:r w:rsidRPr="00E464B6">
        <w:rPr>
          <w:rFonts w:ascii="Arial" w:hAnsi="Arial" w:cs="Arial"/>
          <w:sz w:val="24"/>
          <w:szCs w:val="24"/>
        </w:rPr>
        <w:t xml:space="preserve">To update the </w:t>
      </w:r>
      <w:r>
        <w:rPr>
          <w:rFonts w:ascii="Arial" w:hAnsi="Arial" w:cs="Arial"/>
          <w:sz w:val="24"/>
          <w:szCs w:val="24"/>
        </w:rPr>
        <w:t>PCC</w:t>
      </w:r>
      <w:r w:rsidRPr="00E464B6">
        <w:rPr>
          <w:rFonts w:ascii="Arial" w:hAnsi="Arial" w:cs="Arial"/>
          <w:sz w:val="24"/>
          <w:szCs w:val="24"/>
        </w:rPr>
        <w:t xml:space="preserve"> on the </w:t>
      </w:r>
      <w:r>
        <w:rPr>
          <w:rFonts w:ascii="Arial" w:hAnsi="Arial" w:cs="Arial"/>
          <w:sz w:val="24"/>
          <w:szCs w:val="24"/>
        </w:rPr>
        <w:t xml:space="preserve">Treasury Management activities in </w:t>
      </w:r>
      <w:r w:rsidR="00C74400">
        <w:rPr>
          <w:rFonts w:ascii="Arial" w:hAnsi="Arial" w:cs="Arial"/>
          <w:sz w:val="24"/>
          <w:szCs w:val="24"/>
        </w:rPr>
        <w:t>c</w:t>
      </w:r>
      <w:r w:rsidRPr="00C74400">
        <w:rPr>
          <w:rFonts w:ascii="Arial" w:hAnsi="Arial" w:cs="Arial"/>
          <w:sz w:val="24"/>
          <w:szCs w:val="24"/>
        </w:rPr>
        <w:t>ompliance with the Treasury Strategy.</w:t>
      </w:r>
    </w:p>
    <w:p w:rsidR="00C74400" w:rsidRDefault="00C74400" w14:paraId="2C29B12C" w14:textId="77777777">
      <w:pPr>
        <w:spacing w:after="160" w:line="259" w:lineRule="auto"/>
        <w:rPr>
          <w:rFonts w:cs="Arial"/>
          <w:szCs w:val="24"/>
        </w:rPr>
      </w:pPr>
      <w:r>
        <w:rPr>
          <w:rFonts w:cs="Arial"/>
          <w:szCs w:val="24"/>
        </w:rPr>
        <w:br w:type="page"/>
      </w:r>
    </w:p>
    <w:p w:rsidRPr="009B623D" w:rsidR="009B623D" w:rsidP="00C74400" w:rsidRDefault="009B623D" w14:paraId="3B08DB08" w14:textId="01C0C12D">
      <w:pPr>
        <w:pStyle w:val="NoSpacing"/>
        <w:numPr>
          <w:ilvl w:val="0"/>
          <w:numId w:val="14"/>
        </w:numPr>
        <w:pBdr>
          <w:top w:val="single" w:color="auto" w:sz="4" w:space="1"/>
          <w:left w:val="single" w:color="auto" w:sz="4" w:space="4"/>
          <w:bottom w:val="single" w:color="auto" w:sz="4" w:space="1"/>
          <w:right w:val="single" w:color="auto" w:sz="4" w:space="4"/>
          <w:between w:val="single" w:color="auto" w:sz="4" w:space="1"/>
          <w:bar w:val="single" w:color="auto" w:sz="4"/>
        </w:pBdr>
        <w:rPr>
          <w:rFonts w:ascii="Arial" w:hAnsi="Arial" w:cs="Arial"/>
          <w:b/>
          <w:sz w:val="24"/>
          <w:szCs w:val="24"/>
        </w:rPr>
      </w:pPr>
      <w:bookmarkStart w:name="_Hlk117863240" w:id="0"/>
      <w:r w:rsidRPr="009B623D">
        <w:rPr>
          <w:rFonts w:ascii="Arial" w:hAnsi="Arial" w:cs="Arial"/>
          <w:b/>
          <w:sz w:val="24"/>
          <w:szCs w:val="24"/>
        </w:rPr>
        <w:lastRenderedPageBreak/>
        <w:t>Background</w:t>
      </w:r>
    </w:p>
    <w:bookmarkEnd w:id="0"/>
    <w:p w:rsidRPr="009B623D" w:rsidR="009B623D" w:rsidP="009B623D" w:rsidRDefault="009B623D" w14:paraId="5ABF8947" w14:textId="77777777">
      <w:pPr>
        <w:pStyle w:val="NoSpacing"/>
        <w:ind w:left="426"/>
        <w:rPr>
          <w:rFonts w:ascii="Arial" w:hAnsi="Arial" w:cs="Arial"/>
          <w:b/>
          <w:sz w:val="24"/>
          <w:szCs w:val="24"/>
        </w:rPr>
      </w:pPr>
    </w:p>
    <w:p w:rsidR="009B623D" w:rsidP="008C4AAB" w:rsidRDefault="009B623D" w14:paraId="15A7B0E1" w14:textId="416BB691">
      <w:pPr>
        <w:pStyle w:val="NoSpacing"/>
        <w:jc w:val="both"/>
        <w:rPr>
          <w:rFonts w:ascii="Arial" w:hAnsi="Arial" w:cs="Arial"/>
          <w:bCs/>
          <w:sz w:val="24"/>
          <w:szCs w:val="24"/>
        </w:rPr>
      </w:pPr>
      <w:r w:rsidRPr="009B623D">
        <w:rPr>
          <w:rFonts w:ascii="Arial" w:hAnsi="Arial" w:cs="Arial"/>
          <w:bCs/>
          <w:sz w:val="24"/>
          <w:szCs w:val="24"/>
        </w:rPr>
        <w:t xml:space="preserve">The </w:t>
      </w:r>
      <w:r w:rsidR="00EA57ED">
        <w:rPr>
          <w:rFonts w:ascii="Arial" w:hAnsi="Arial" w:cs="Arial"/>
          <w:bCs/>
          <w:sz w:val="24"/>
          <w:szCs w:val="24"/>
        </w:rPr>
        <w:t>Organisation</w:t>
      </w:r>
      <w:r w:rsidRPr="009B623D">
        <w:rPr>
          <w:rFonts w:ascii="Arial" w:hAnsi="Arial" w:cs="Arial"/>
          <w:bCs/>
          <w:sz w:val="24"/>
          <w:szCs w:val="24"/>
        </w:rPr>
        <w:t xml:space="preserve"> is required by regulations issued under the Local Government Act 2003 to report on its Prudential Code indicators and treasury activity. This report meets the requirements of both the CIPFA Code of Practice on Treasury Management (the Code) and the CIPFA Prudential Code for Capital Finance in Local Authorities (the Prudential Code). </w:t>
      </w:r>
    </w:p>
    <w:p w:rsidR="00EA57ED" w:rsidP="00EA57ED" w:rsidRDefault="00EA57ED" w14:paraId="5D972B9C" w14:textId="77777777">
      <w:pPr>
        <w:pStyle w:val="NoSpacing"/>
        <w:ind w:left="426"/>
        <w:rPr>
          <w:rFonts w:ascii="Arial" w:hAnsi="Arial" w:cs="Arial"/>
          <w:bCs/>
          <w:sz w:val="24"/>
          <w:szCs w:val="24"/>
        </w:rPr>
      </w:pPr>
    </w:p>
    <w:p w:rsidR="00EA57ED" w:rsidP="008C4AAB" w:rsidRDefault="009B623D" w14:paraId="3BACD6AB" w14:textId="24E3E356">
      <w:pPr>
        <w:pStyle w:val="NoSpacing"/>
        <w:numPr>
          <w:ilvl w:val="1"/>
          <w:numId w:val="14"/>
        </w:numPr>
        <w:ind w:left="567" w:hanging="567"/>
        <w:rPr>
          <w:rFonts w:ascii="Arial" w:hAnsi="Arial" w:cs="Arial" w:eastAsiaTheme="minorHAnsi"/>
          <w:sz w:val="24"/>
          <w:szCs w:val="24"/>
        </w:rPr>
      </w:pPr>
      <w:r w:rsidRPr="009B623D">
        <w:rPr>
          <w:rFonts w:ascii="Arial" w:hAnsi="Arial" w:cs="Arial" w:eastAsiaTheme="minorHAnsi"/>
          <w:sz w:val="24"/>
          <w:szCs w:val="24"/>
        </w:rPr>
        <w:t>For 2022/23 the minimum reporting requirements are that the PCC should receive</w:t>
      </w:r>
      <w:r w:rsidR="00EA57ED">
        <w:rPr>
          <w:rFonts w:ascii="Arial" w:hAnsi="Arial" w:cs="Arial" w:eastAsiaTheme="minorHAnsi"/>
          <w:sz w:val="24"/>
          <w:szCs w:val="24"/>
        </w:rPr>
        <w:t xml:space="preserve"> </w:t>
      </w:r>
      <w:r w:rsidRPr="009B623D" w:rsidR="00EA57ED">
        <w:rPr>
          <w:rFonts w:ascii="Arial" w:hAnsi="Arial" w:cs="Arial" w:eastAsiaTheme="minorHAnsi"/>
          <w:sz w:val="24"/>
          <w:szCs w:val="24"/>
        </w:rPr>
        <w:t xml:space="preserve">the following reports: </w:t>
      </w:r>
    </w:p>
    <w:p w:rsidR="008C4AAB" w:rsidP="008C4AAB" w:rsidRDefault="008C4AAB" w14:paraId="2D5F12D6" w14:textId="63900B69">
      <w:pPr>
        <w:pStyle w:val="ListParagraph"/>
        <w:numPr>
          <w:ilvl w:val="0"/>
          <w:numId w:val="3"/>
        </w:numPr>
        <w:spacing w:after="160" w:line="259" w:lineRule="auto"/>
        <w:rPr>
          <w:rFonts w:cs="Arial" w:eastAsiaTheme="minorHAnsi"/>
          <w:szCs w:val="24"/>
        </w:rPr>
      </w:pPr>
      <w:r w:rsidRPr="008C4AAB">
        <w:rPr>
          <w:rFonts w:cs="Arial" w:eastAsiaTheme="minorHAnsi"/>
          <w:szCs w:val="24"/>
        </w:rPr>
        <w:t xml:space="preserve">An Annual Treasury Strategy in advance of the year (the TMSS was approved by the PCC in February 2022, Decision Record </w:t>
      </w:r>
      <w:r w:rsidR="00672152">
        <w:rPr>
          <w:rFonts w:cs="Arial" w:eastAsiaTheme="minorHAnsi"/>
          <w:szCs w:val="24"/>
        </w:rPr>
        <w:t>037</w:t>
      </w:r>
      <w:r w:rsidRPr="008C4AAB">
        <w:rPr>
          <w:rFonts w:cs="Arial" w:eastAsiaTheme="minorHAnsi"/>
          <w:szCs w:val="24"/>
        </w:rPr>
        <w:t>).</w:t>
      </w:r>
    </w:p>
    <w:p w:rsidRPr="008C4AAB" w:rsidR="008C4AAB" w:rsidP="008C4AAB" w:rsidRDefault="008C4AAB" w14:paraId="336274C2" w14:textId="77777777">
      <w:pPr>
        <w:pStyle w:val="ListParagraph"/>
        <w:numPr>
          <w:ilvl w:val="0"/>
          <w:numId w:val="3"/>
        </w:numPr>
        <w:spacing w:after="160" w:line="259" w:lineRule="auto"/>
        <w:rPr>
          <w:rFonts w:cs="Arial" w:eastAsiaTheme="minorHAnsi"/>
          <w:szCs w:val="24"/>
        </w:rPr>
      </w:pPr>
      <w:r w:rsidRPr="008C4AAB">
        <w:rPr>
          <w:rFonts w:cs="Arial" w:eastAsiaTheme="minorHAnsi"/>
          <w:szCs w:val="24"/>
        </w:rPr>
        <w:t xml:space="preserve">A </w:t>
      </w:r>
      <w:r>
        <w:rPr>
          <w:rFonts w:cs="Arial" w:eastAsiaTheme="minorHAnsi"/>
          <w:szCs w:val="24"/>
        </w:rPr>
        <w:t>M</w:t>
      </w:r>
      <w:r w:rsidRPr="008C4AAB">
        <w:rPr>
          <w:rFonts w:cs="Arial" w:eastAsiaTheme="minorHAnsi"/>
          <w:szCs w:val="24"/>
        </w:rPr>
        <w:t>id-</w:t>
      </w:r>
      <w:r>
        <w:rPr>
          <w:rFonts w:cs="Arial" w:eastAsiaTheme="minorHAnsi"/>
          <w:szCs w:val="24"/>
        </w:rPr>
        <w:t>Y</w:t>
      </w:r>
      <w:r w:rsidRPr="008C4AAB">
        <w:rPr>
          <w:rFonts w:cs="Arial" w:eastAsiaTheme="minorHAnsi"/>
          <w:szCs w:val="24"/>
        </w:rPr>
        <w:t xml:space="preserve">ear </w:t>
      </w:r>
      <w:r>
        <w:rPr>
          <w:rFonts w:cs="Arial" w:eastAsiaTheme="minorHAnsi"/>
          <w:szCs w:val="24"/>
        </w:rPr>
        <w:t>T</w:t>
      </w:r>
      <w:r w:rsidRPr="008C4AAB">
        <w:rPr>
          <w:rFonts w:cs="Arial" w:eastAsiaTheme="minorHAnsi"/>
          <w:szCs w:val="24"/>
        </w:rPr>
        <w:t xml:space="preserve">reasury </w:t>
      </w:r>
      <w:r>
        <w:rPr>
          <w:rFonts w:cs="Arial" w:eastAsiaTheme="minorHAnsi"/>
          <w:szCs w:val="24"/>
        </w:rPr>
        <w:t>U</w:t>
      </w:r>
      <w:r w:rsidRPr="008C4AAB">
        <w:rPr>
          <w:rFonts w:cs="Arial" w:eastAsiaTheme="minorHAnsi"/>
          <w:szCs w:val="24"/>
        </w:rPr>
        <w:t xml:space="preserve">pdate </w:t>
      </w:r>
      <w:r>
        <w:rPr>
          <w:rFonts w:cs="Arial" w:eastAsiaTheme="minorHAnsi"/>
          <w:szCs w:val="24"/>
        </w:rPr>
        <w:t>R</w:t>
      </w:r>
      <w:r w:rsidRPr="008C4AAB">
        <w:rPr>
          <w:rFonts w:cs="Arial" w:eastAsiaTheme="minorHAnsi"/>
          <w:szCs w:val="24"/>
        </w:rPr>
        <w:t>eport (this report).</w:t>
      </w:r>
    </w:p>
    <w:p w:rsidR="008C4AAB" w:rsidP="008C4AAB" w:rsidRDefault="008C4AAB" w14:paraId="63260839" w14:textId="77777777">
      <w:pPr>
        <w:pStyle w:val="ListParagraph"/>
        <w:numPr>
          <w:ilvl w:val="0"/>
          <w:numId w:val="3"/>
        </w:numPr>
        <w:spacing w:after="160" w:line="259" w:lineRule="auto"/>
        <w:rPr>
          <w:rFonts w:cs="Arial" w:eastAsiaTheme="minorHAnsi"/>
          <w:szCs w:val="24"/>
        </w:rPr>
      </w:pPr>
      <w:r w:rsidRPr="009B623D">
        <w:rPr>
          <w:rFonts w:cs="Arial" w:eastAsiaTheme="minorHAnsi"/>
          <w:szCs w:val="24"/>
        </w:rPr>
        <w:t xml:space="preserve">An </w:t>
      </w:r>
      <w:r>
        <w:rPr>
          <w:rFonts w:cs="Arial" w:eastAsiaTheme="minorHAnsi"/>
          <w:szCs w:val="24"/>
        </w:rPr>
        <w:t>A</w:t>
      </w:r>
      <w:r w:rsidRPr="009B623D">
        <w:rPr>
          <w:rFonts w:cs="Arial" w:eastAsiaTheme="minorHAnsi"/>
          <w:szCs w:val="24"/>
        </w:rPr>
        <w:t xml:space="preserve">nnual </w:t>
      </w:r>
      <w:r>
        <w:rPr>
          <w:rFonts w:cs="Arial" w:eastAsiaTheme="minorHAnsi"/>
          <w:szCs w:val="24"/>
        </w:rPr>
        <w:t>R</w:t>
      </w:r>
      <w:r w:rsidRPr="009B623D">
        <w:rPr>
          <w:rFonts w:cs="Arial" w:eastAsiaTheme="minorHAnsi"/>
          <w:szCs w:val="24"/>
        </w:rPr>
        <w:t>eview following the end of the year describing the activity compared to the Strategy. (</w:t>
      </w:r>
      <w:r>
        <w:rPr>
          <w:rFonts w:cs="Arial" w:eastAsiaTheme="minorHAnsi"/>
          <w:szCs w:val="24"/>
        </w:rPr>
        <w:t xml:space="preserve">this is planned for </w:t>
      </w:r>
      <w:r w:rsidRPr="009B623D">
        <w:rPr>
          <w:rFonts w:cs="Arial" w:eastAsiaTheme="minorHAnsi"/>
          <w:szCs w:val="24"/>
        </w:rPr>
        <w:t>May 2023).</w:t>
      </w:r>
    </w:p>
    <w:p w:rsidRPr="00164323" w:rsidR="008C4AAB" w:rsidP="008C4AAB" w:rsidRDefault="008C4AAB" w14:paraId="45165311" w14:textId="7A6575D3">
      <w:pPr>
        <w:spacing w:after="160" w:line="259" w:lineRule="auto"/>
        <w:ind w:left="567"/>
        <w:jc w:val="both"/>
        <w:rPr>
          <w:rFonts w:cs="Arial" w:eastAsiaTheme="minorHAnsi"/>
          <w:szCs w:val="24"/>
        </w:rPr>
      </w:pPr>
      <w:r w:rsidRPr="00164323">
        <w:rPr>
          <w:rFonts w:cs="Arial" w:eastAsiaTheme="minorHAnsi"/>
          <w:szCs w:val="24"/>
        </w:rPr>
        <w:t xml:space="preserve">In accordance with best practice, regular </w:t>
      </w:r>
      <w:r w:rsidRPr="00164323" w:rsidR="00164323">
        <w:rPr>
          <w:rFonts w:cs="Arial" w:eastAsiaTheme="minorHAnsi"/>
          <w:szCs w:val="24"/>
        </w:rPr>
        <w:t xml:space="preserve">updates on </w:t>
      </w:r>
      <w:r w:rsidRPr="00164323">
        <w:rPr>
          <w:rFonts w:cs="Arial" w:eastAsiaTheme="minorHAnsi"/>
          <w:szCs w:val="24"/>
        </w:rPr>
        <w:t xml:space="preserve"> treasury activity are also provided to the PCC</w:t>
      </w:r>
      <w:r w:rsidRPr="00164323" w:rsidR="00164323">
        <w:rPr>
          <w:rFonts w:cs="Arial" w:eastAsiaTheme="minorHAnsi"/>
          <w:szCs w:val="24"/>
        </w:rPr>
        <w:t>s CFO</w:t>
      </w:r>
      <w:r w:rsidRPr="00164323">
        <w:rPr>
          <w:rFonts w:cs="Arial" w:eastAsiaTheme="minorHAnsi"/>
          <w:szCs w:val="24"/>
        </w:rPr>
        <w:t>.</w:t>
      </w:r>
    </w:p>
    <w:p w:rsidR="008C4AAB" w:rsidP="008C4AAB" w:rsidRDefault="009B623D" w14:paraId="16FAD36D" w14:textId="6544B2D6">
      <w:pPr>
        <w:pStyle w:val="NoSpacing"/>
        <w:numPr>
          <w:ilvl w:val="1"/>
          <w:numId w:val="14"/>
        </w:numPr>
        <w:ind w:left="426" w:hanging="567"/>
        <w:jc w:val="both"/>
        <w:rPr>
          <w:rFonts w:ascii="Arial" w:hAnsi="Arial" w:cs="Arial" w:eastAsiaTheme="minorHAnsi"/>
          <w:sz w:val="24"/>
          <w:szCs w:val="24"/>
        </w:rPr>
      </w:pPr>
      <w:r w:rsidRPr="008C4AAB">
        <w:rPr>
          <w:rFonts w:ascii="Arial" w:hAnsi="Arial" w:cs="Arial" w:eastAsiaTheme="minorHAnsi"/>
          <w:sz w:val="24"/>
          <w:szCs w:val="24"/>
        </w:rPr>
        <w:t>The regulatory environment places responsibility on the PCC for the review and scrutiny of treasury management policy and activities, this duty is supported by further review by the Joint Independent Audit Committee (JIAC). This report provides details of the position at</w:t>
      </w:r>
      <w:r w:rsidR="00164323">
        <w:rPr>
          <w:rFonts w:ascii="Arial" w:hAnsi="Arial" w:cs="Arial" w:eastAsiaTheme="minorHAnsi"/>
          <w:sz w:val="24"/>
          <w:szCs w:val="24"/>
        </w:rPr>
        <w:t xml:space="preserve"> 31</w:t>
      </w:r>
      <w:r w:rsidRPr="00164323" w:rsidR="00164323">
        <w:rPr>
          <w:rFonts w:ascii="Arial" w:hAnsi="Arial" w:cs="Arial" w:eastAsiaTheme="minorHAnsi"/>
          <w:sz w:val="24"/>
          <w:szCs w:val="24"/>
          <w:vertAlign w:val="superscript"/>
        </w:rPr>
        <w:t>st</w:t>
      </w:r>
      <w:r w:rsidR="00164323">
        <w:rPr>
          <w:rFonts w:ascii="Arial" w:hAnsi="Arial" w:cs="Arial" w:eastAsiaTheme="minorHAnsi"/>
          <w:sz w:val="24"/>
          <w:szCs w:val="24"/>
        </w:rPr>
        <w:t xml:space="preserve"> October </w:t>
      </w:r>
      <w:r w:rsidRPr="008C4AAB">
        <w:rPr>
          <w:rFonts w:ascii="Arial" w:hAnsi="Arial" w:cs="Arial" w:eastAsiaTheme="minorHAnsi"/>
          <w:sz w:val="24"/>
          <w:szCs w:val="24"/>
        </w:rPr>
        <w:t>2022 and highlights compliance and non-compliance with the approved Strategy.</w:t>
      </w:r>
    </w:p>
    <w:p w:rsidR="008C4AAB" w:rsidP="008C4AAB" w:rsidRDefault="008C4AAB" w14:paraId="6AAB4EEF" w14:textId="77777777">
      <w:pPr>
        <w:pStyle w:val="NoSpacing"/>
        <w:ind w:left="426"/>
        <w:jc w:val="both"/>
        <w:rPr>
          <w:rFonts w:ascii="Arial" w:hAnsi="Arial" w:cs="Arial" w:eastAsiaTheme="minorHAnsi"/>
          <w:sz w:val="24"/>
          <w:szCs w:val="24"/>
        </w:rPr>
      </w:pPr>
    </w:p>
    <w:p w:rsidR="00EA57ED" w:rsidP="008C4AAB" w:rsidRDefault="00581B4E" w14:paraId="39F13D75" w14:textId="18449F88">
      <w:pPr>
        <w:pStyle w:val="NoSpacing"/>
        <w:numPr>
          <w:ilvl w:val="1"/>
          <w:numId w:val="14"/>
        </w:numPr>
        <w:ind w:left="426" w:hanging="567"/>
        <w:jc w:val="both"/>
        <w:rPr>
          <w:rFonts w:ascii="Arial" w:hAnsi="Arial" w:cs="Arial" w:eastAsiaTheme="minorHAnsi"/>
          <w:sz w:val="24"/>
          <w:szCs w:val="24"/>
        </w:rPr>
      </w:pPr>
      <w:r w:rsidRPr="008C4AAB">
        <w:rPr>
          <w:rFonts w:ascii="Arial" w:hAnsi="Arial" w:cs="Arial" w:eastAsiaTheme="minorHAnsi"/>
          <w:sz w:val="24"/>
          <w:szCs w:val="24"/>
        </w:rPr>
        <w:t>A</w:t>
      </w:r>
      <w:r w:rsidRPr="008C4AAB" w:rsidR="00EA57ED">
        <w:rPr>
          <w:rFonts w:ascii="Arial" w:hAnsi="Arial" w:cs="Arial" w:eastAsiaTheme="minorHAnsi"/>
          <w:sz w:val="24"/>
          <w:szCs w:val="24"/>
        </w:rPr>
        <w:t xml:space="preserve"> non-</w:t>
      </w:r>
      <w:r w:rsidRPr="008C4AAB">
        <w:rPr>
          <w:rFonts w:ascii="Arial" w:hAnsi="Arial" w:cs="Arial" w:eastAsiaTheme="minorHAnsi"/>
          <w:sz w:val="24"/>
          <w:szCs w:val="24"/>
        </w:rPr>
        <w:t>compliance</w:t>
      </w:r>
      <w:r w:rsidRPr="008C4AAB" w:rsidR="00EA57ED">
        <w:rPr>
          <w:rFonts w:ascii="Arial" w:hAnsi="Arial" w:cs="Arial" w:eastAsiaTheme="minorHAnsi"/>
          <w:sz w:val="24"/>
          <w:szCs w:val="24"/>
        </w:rPr>
        <w:t xml:space="preserve"> </w:t>
      </w:r>
      <w:r w:rsidRPr="008C4AAB">
        <w:rPr>
          <w:rFonts w:ascii="Arial" w:hAnsi="Arial" w:cs="Arial" w:eastAsiaTheme="minorHAnsi"/>
          <w:sz w:val="24"/>
          <w:szCs w:val="24"/>
        </w:rPr>
        <w:t xml:space="preserve">breach </w:t>
      </w:r>
      <w:r w:rsidRPr="008C4AAB" w:rsidR="00EA57ED">
        <w:rPr>
          <w:rFonts w:ascii="Arial" w:hAnsi="Arial" w:cs="Arial" w:eastAsiaTheme="minorHAnsi"/>
          <w:sz w:val="24"/>
          <w:szCs w:val="24"/>
        </w:rPr>
        <w:t>has been identified the reasons for this and recommendations for change are detailed</w:t>
      </w:r>
      <w:r w:rsidRPr="008C4AAB">
        <w:rPr>
          <w:rFonts w:ascii="Arial" w:hAnsi="Arial" w:cs="Arial" w:eastAsiaTheme="minorHAnsi"/>
          <w:sz w:val="24"/>
          <w:szCs w:val="24"/>
        </w:rPr>
        <w:t xml:space="preserve"> in the next section of the report.</w:t>
      </w:r>
    </w:p>
    <w:p w:rsidR="00581B4E" w:rsidP="008C4AAB" w:rsidRDefault="00581B4E" w14:paraId="3E67ECDD" w14:textId="77777777">
      <w:pPr>
        <w:spacing w:after="0" w:line="240" w:lineRule="auto"/>
      </w:pPr>
    </w:p>
    <w:p w:rsidRPr="009B623D" w:rsidR="00581B4E" w:rsidP="008C4AAB" w:rsidRDefault="00581B4E" w14:paraId="33F69E2C" w14:textId="59B2A310">
      <w:pPr>
        <w:pStyle w:val="NoSpacing"/>
        <w:numPr>
          <w:ilvl w:val="0"/>
          <w:numId w:val="14"/>
        </w:numPr>
        <w:pBdr>
          <w:top w:val="single" w:color="auto" w:sz="4" w:space="1"/>
          <w:left w:val="single" w:color="auto" w:sz="4" w:space="24"/>
          <w:bottom w:val="single" w:color="auto" w:sz="4" w:space="1"/>
          <w:right w:val="single" w:color="auto" w:sz="4" w:space="4"/>
          <w:between w:val="single" w:color="auto" w:sz="4" w:space="1"/>
          <w:bar w:val="single" w:color="auto" w:sz="4"/>
        </w:pBdr>
        <w:rPr>
          <w:rFonts w:ascii="Arial" w:hAnsi="Arial" w:cs="Arial"/>
          <w:b/>
          <w:sz w:val="24"/>
          <w:szCs w:val="24"/>
        </w:rPr>
      </w:pPr>
      <w:r w:rsidRPr="009B623D">
        <w:rPr>
          <w:rFonts w:ascii="Arial" w:hAnsi="Arial" w:cs="Arial"/>
          <w:b/>
          <w:sz w:val="24"/>
          <w:szCs w:val="24"/>
        </w:rPr>
        <w:t>B</w:t>
      </w:r>
      <w:r>
        <w:rPr>
          <w:rFonts w:ascii="Arial" w:hAnsi="Arial" w:cs="Arial"/>
          <w:b/>
          <w:sz w:val="24"/>
          <w:szCs w:val="24"/>
        </w:rPr>
        <w:t>reach of Operating and Authorised Limits</w:t>
      </w:r>
    </w:p>
    <w:p w:rsidRPr="008C4AAB" w:rsidR="008C4AAB" w:rsidP="008C4AAB" w:rsidRDefault="008C4AAB" w14:paraId="67175FD8" w14:textId="77777777">
      <w:pPr>
        <w:pStyle w:val="NoSpacing"/>
        <w:ind w:left="426"/>
        <w:jc w:val="both"/>
        <w:rPr>
          <w:rFonts w:ascii="Arial" w:hAnsi="Arial" w:cs="Arial"/>
          <w:sz w:val="24"/>
          <w:szCs w:val="24"/>
        </w:rPr>
      </w:pPr>
    </w:p>
    <w:p w:rsidR="008C4AAB" w:rsidP="008C4AAB" w:rsidRDefault="00581B4E" w14:paraId="0562745A" w14:textId="56A263EC">
      <w:pPr>
        <w:pStyle w:val="NoSpacing"/>
        <w:numPr>
          <w:ilvl w:val="1"/>
          <w:numId w:val="14"/>
        </w:numPr>
        <w:ind w:left="426" w:hanging="568"/>
        <w:jc w:val="both"/>
        <w:rPr>
          <w:rFonts w:ascii="Arial" w:hAnsi="Arial" w:cs="Arial"/>
          <w:sz w:val="24"/>
          <w:szCs w:val="24"/>
        </w:rPr>
      </w:pPr>
      <w:r w:rsidRPr="0001284B">
        <w:rPr>
          <w:rFonts w:ascii="Arial" w:hAnsi="Arial" w:cs="Arial" w:eastAsiaTheme="minorHAnsi"/>
          <w:sz w:val="24"/>
          <w:szCs w:val="24"/>
        </w:rPr>
        <w:t>The Chief Constable’s C</w:t>
      </w:r>
      <w:r w:rsidR="000A5FFA">
        <w:rPr>
          <w:rFonts w:ascii="Arial" w:hAnsi="Arial" w:cs="Arial" w:eastAsiaTheme="minorHAnsi"/>
          <w:sz w:val="24"/>
          <w:szCs w:val="24"/>
        </w:rPr>
        <w:t xml:space="preserve">hief </w:t>
      </w:r>
      <w:r w:rsidRPr="0001284B">
        <w:rPr>
          <w:rFonts w:ascii="Arial" w:hAnsi="Arial" w:cs="Arial" w:eastAsiaTheme="minorHAnsi"/>
          <w:sz w:val="24"/>
          <w:szCs w:val="24"/>
        </w:rPr>
        <w:t>F</w:t>
      </w:r>
      <w:r w:rsidR="000A5FFA">
        <w:rPr>
          <w:rFonts w:ascii="Arial" w:hAnsi="Arial" w:cs="Arial" w:eastAsiaTheme="minorHAnsi"/>
          <w:sz w:val="24"/>
          <w:szCs w:val="24"/>
        </w:rPr>
        <w:t xml:space="preserve">inancial </w:t>
      </w:r>
      <w:r w:rsidRPr="0001284B">
        <w:rPr>
          <w:rFonts w:ascii="Arial" w:hAnsi="Arial" w:cs="Arial" w:eastAsiaTheme="minorHAnsi"/>
          <w:sz w:val="24"/>
          <w:szCs w:val="24"/>
        </w:rPr>
        <w:t>O</w:t>
      </w:r>
      <w:r w:rsidR="000A5FFA">
        <w:rPr>
          <w:rFonts w:ascii="Arial" w:hAnsi="Arial" w:cs="Arial" w:eastAsiaTheme="minorHAnsi"/>
          <w:sz w:val="24"/>
          <w:szCs w:val="24"/>
        </w:rPr>
        <w:t>fficer (CFO)</w:t>
      </w:r>
      <w:r w:rsidRPr="0001284B">
        <w:rPr>
          <w:rFonts w:ascii="Arial" w:hAnsi="Arial" w:cs="Arial" w:eastAsiaTheme="minorHAnsi"/>
          <w:sz w:val="24"/>
          <w:szCs w:val="24"/>
        </w:rPr>
        <w:t xml:space="preserve"> </w:t>
      </w:r>
      <w:r w:rsidRPr="0001284B" w:rsidR="0001284B">
        <w:rPr>
          <w:rFonts w:ascii="Arial" w:hAnsi="Arial" w:cs="Arial" w:eastAsiaTheme="minorHAnsi"/>
          <w:sz w:val="24"/>
          <w:szCs w:val="24"/>
        </w:rPr>
        <w:t>on the 25</w:t>
      </w:r>
      <w:r w:rsidRPr="0001284B" w:rsidR="0001284B">
        <w:rPr>
          <w:rFonts w:ascii="Arial" w:hAnsi="Arial" w:cs="Arial" w:eastAsiaTheme="minorHAnsi"/>
          <w:sz w:val="24"/>
          <w:szCs w:val="24"/>
          <w:vertAlign w:val="superscript"/>
        </w:rPr>
        <w:t>th</w:t>
      </w:r>
      <w:r w:rsidRPr="0001284B" w:rsidR="0001284B">
        <w:rPr>
          <w:rFonts w:ascii="Arial" w:hAnsi="Arial" w:cs="Arial" w:eastAsiaTheme="minorHAnsi"/>
          <w:sz w:val="24"/>
          <w:szCs w:val="24"/>
        </w:rPr>
        <w:t xml:space="preserve"> October</w:t>
      </w:r>
      <w:r w:rsidRPr="00581B4E">
        <w:rPr>
          <w:rFonts w:ascii="Arial" w:hAnsi="Arial" w:cs="Arial"/>
          <w:sz w:val="24"/>
          <w:szCs w:val="24"/>
        </w:rPr>
        <w:t xml:space="preserve"> in reviewing current treasury management activity </w:t>
      </w:r>
      <w:r w:rsidRPr="0001284B">
        <w:rPr>
          <w:rFonts w:ascii="Arial" w:hAnsi="Arial" w:cs="Arial"/>
          <w:sz w:val="24"/>
          <w:szCs w:val="24"/>
        </w:rPr>
        <w:t>identified that</w:t>
      </w:r>
      <w:r w:rsidRPr="00581B4E">
        <w:rPr>
          <w:rFonts w:ascii="Arial" w:hAnsi="Arial" w:cs="Arial"/>
          <w:sz w:val="24"/>
          <w:szCs w:val="24"/>
        </w:rPr>
        <w:t xml:space="preserve"> on the 14</w:t>
      </w:r>
      <w:r w:rsidRPr="00581B4E">
        <w:rPr>
          <w:rFonts w:ascii="Arial" w:hAnsi="Arial" w:cs="Arial"/>
          <w:sz w:val="24"/>
          <w:szCs w:val="24"/>
          <w:vertAlign w:val="superscript"/>
        </w:rPr>
        <w:t>th</w:t>
      </w:r>
      <w:r w:rsidRPr="00581B4E">
        <w:rPr>
          <w:rFonts w:ascii="Arial" w:hAnsi="Arial" w:cs="Arial"/>
          <w:sz w:val="24"/>
          <w:szCs w:val="24"/>
        </w:rPr>
        <w:t xml:space="preserve"> October additional short-term borrowing of £6m for cash flow purposes</w:t>
      </w:r>
      <w:r w:rsidRPr="0001284B" w:rsidR="0001284B">
        <w:rPr>
          <w:rFonts w:ascii="Arial" w:hAnsi="Arial" w:cs="Arial"/>
          <w:sz w:val="24"/>
          <w:szCs w:val="24"/>
        </w:rPr>
        <w:t xml:space="preserve"> was undertaken</w:t>
      </w:r>
      <w:r w:rsidRPr="00581B4E">
        <w:rPr>
          <w:rFonts w:ascii="Arial" w:hAnsi="Arial" w:cs="Arial"/>
          <w:sz w:val="24"/>
          <w:szCs w:val="24"/>
        </w:rPr>
        <w:t>. This resulted in total borrowing (both long term and short) being £75.9m, this therefore took us above both the operational limit £70m and authorised limit £75m – prior to this date no</w:t>
      </w:r>
      <w:r w:rsidRPr="0001284B" w:rsidR="0001284B">
        <w:rPr>
          <w:rFonts w:ascii="Arial" w:hAnsi="Arial" w:cs="Arial"/>
          <w:sz w:val="24"/>
          <w:szCs w:val="24"/>
        </w:rPr>
        <w:t xml:space="preserve"> known</w:t>
      </w:r>
      <w:r w:rsidRPr="00581B4E">
        <w:rPr>
          <w:rFonts w:ascii="Arial" w:hAnsi="Arial" w:cs="Arial"/>
          <w:sz w:val="24"/>
          <w:szCs w:val="24"/>
        </w:rPr>
        <w:t xml:space="preserve"> breach had occurred.</w:t>
      </w:r>
    </w:p>
    <w:p w:rsidR="008C4AAB" w:rsidP="008C4AAB" w:rsidRDefault="008C4AAB" w14:paraId="4B5BEC98" w14:textId="77777777">
      <w:pPr>
        <w:pStyle w:val="NoSpacing"/>
        <w:ind w:left="426"/>
        <w:jc w:val="both"/>
        <w:rPr>
          <w:rFonts w:ascii="Arial" w:hAnsi="Arial" w:cs="Arial"/>
          <w:sz w:val="24"/>
          <w:szCs w:val="24"/>
        </w:rPr>
      </w:pPr>
    </w:p>
    <w:p w:rsidR="008C4AAB" w:rsidP="008C4AAB" w:rsidRDefault="0001284B" w14:paraId="4DBA1F3A" w14:textId="3437CDAC">
      <w:pPr>
        <w:pStyle w:val="NoSpacing"/>
        <w:numPr>
          <w:ilvl w:val="1"/>
          <w:numId w:val="14"/>
        </w:numPr>
        <w:ind w:left="426" w:hanging="568"/>
        <w:jc w:val="both"/>
        <w:rPr>
          <w:rFonts w:ascii="Arial" w:hAnsi="Arial" w:cs="Arial"/>
          <w:sz w:val="24"/>
          <w:szCs w:val="24"/>
        </w:rPr>
      </w:pPr>
      <w:r w:rsidRPr="008C4AAB">
        <w:rPr>
          <w:rFonts w:ascii="Arial" w:hAnsi="Arial" w:cs="Arial"/>
          <w:sz w:val="24"/>
          <w:szCs w:val="24"/>
        </w:rPr>
        <w:t xml:space="preserve">The </w:t>
      </w:r>
      <w:r w:rsidR="00672152">
        <w:rPr>
          <w:rFonts w:ascii="Arial" w:hAnsi="Arial" w:cs="Arial"/>
          <w:sz w:val="24"/>
          <w:szCs w:val="24"/>
        </w:rPr>
        <w:t xml:space="preserve">Chief Constables </w:t>
      </w:r>
      <w:r w:rsidRPr="008C4AAB">
        <w:rPr>
          <w:rFonts w:ascii="Arial" w:hAnsi="Arial" w:cs="Arial"/>
          <w:sz w:val="24"/>
          <w:szCs w:val="24"/>
        </w:rPr>
        <w:t>CFO immediately notified the OPCC (email to PCC’s CFO 25</w:t>
      </w:r>
      <w:r w:rsidRPr="008C4AAB">
        <w:rPr>
          <w:rFonts w:ascii="Arial" w:hAnsi="Arial" w:cs="Arial"/>
          <w:sz w:val="24"/>
          <w:szCs w:val="24"/>
          <w:vertAlign w:val="superscript"/>
        </w:rPr>
        <w:t>th</w:t>
      </w:r>
      <w:r w:rsidRPr="008C4AAB">
        <w:rPr>
          <w:rFonts w:ascii="Arial" w:hAnsi="Arial" w:cs="Arial"/>
          <w:sz w:val="24"/>
          <w:szCs w:val="24"/>
        </w:rPr>
        <w:t xml:space="preserve"> October 2022) and </w:t>
      </w:r>
      <w:r w:rsidRPr="008C4AAB" w:rsidR="00581B4E">
        <w:rPr>
          <w:rFonts w:ascii="Arial" w:hAnsi="Arial" w:cs="Arial"/>
          <w:sz w:val="24"/>
          <w:szCs w:val="24"/>
        </w:rPr>
        <w:t xml:space="preserve">instigated changes to </w:t>
      </w:r>
      <w:r w:rsidRPr="008C4AAB">
        <w:rPr>
          <w:rFonts w:ascii="Arial" w:hAnsi="Arial" w:cs="Arial"/>
          <w:sz w:val="24"/>
          <w:szCs w:val="24"/>
        </w:rPr>
        <w:t>the</w:t>
      </w:r>
      <w:r w:rsidRPr="008C4AAB" w:rsidR="00581B4E">
        <w:rPr>
          <w:rFonts w:ascii="Arial" w:hAnsi="Arial" w:cs="Arial"/>
          <w:sz w:val="24"/>
          <w:szCs w:val="24"/>
        </w:rPr>
        <w:t xml:space="preserve"> monitoring systems to ensure measurement of these limits is more prominent in our daily borrowing and lending decisions.</w:t>
      </w:r>
      <w:r w:rsidRPr="008C4AAB">
        <w:rPr>
          <w:rFonts w:ascii="Arial" w:hAnsi="Arial" w:cs="Arial"/>
          <w:sz w:val="24"/>
          <w:szCs w:val="24"/>
        </w:rPr>
        <w:t xml:space="preserve"> The need to</w:t>
      </w:r>
      <w:r w:rsidRPr="008C4AAB" w:rsidR="00581B4E">
        <w:rPr>
          <w:rFonts w:ascii="Arial" w:hAnsi="Arial" w:cs="Arial"/>
          <w:sz w:val="24"/>
          <w:szCs w:val="24"/>
        </w:rPr>
        <w:t xml:space="preserve"> revis</w:t>
      </w:r>
      <w:r w:rsidRPr="008C4AAB">
        <w:rPr>
          <w:rFonts w:ascii="Arial" w:hAnsi="Arial" w:cs="Arial"/>
          <w:sz w:val="24"/>
          <w:szCs w:val="24"/>
        </w:rPr>
        <w:t xml:space="preserve">e </w:t>
      </w:r>
      <w:r w:rsidRPr="008C4AAB" w:rsidR="00581B4E">
        <w:rPr>
          <w:rFonts w:ascii="Arial" w:hAnsi="Arial" w:cs="Arial"/>
          <w:sz w:val="24"/>
          <w:szCs w:val="24"/>
        </w:rPr>
        <w:t>the Treasury Strategy with increased limits to ensure treasury operations are within approved levels</w:t>
      </w:r>
      <w:r w:rsidRPr="008C4AAB">
        <w:rPr>
          <w:rFonts w:ascii="Arial" w:hAnsi="Arial" w:cs="Arial"/>
          <w:sz w:val="24"/>
          <w:szCs w:val="24"/>
        </w:rPr>
        <w:t xml:space="preserve"> was also discussed between the two CFO’s. It was also noted at this time that</w:t>
      </w:r>
      <w:r w:rsidRPr="008C4AAB" w:rsidR="00581B4E">
        <w:rPr>
          <w:rFonts w:ascii="Arial" w:hAnsi="Arial" w:cs="Arial"/>
          <w:sz w:val="24"/>
          <w:szCs w:val="24"/>
        </w:rPr>
        <w:t xml:space="preserve"> it </w:t>
      </w:r>
      <w:r w:rsidRPr="008C4AAB">
        <w:rPr>
          <w:rFonts w:ascii="Arial" w:hAnsi="Arial" w:cs="Arial"/>
          <w:sz w:val="24"/>
          <w:szCs w:val="24"/>
        </w:rPr>
        <w:t>was</w:t>
      </w:r>
      <w:r w:rsidRPr="008C4AAB" w:rsidR="00581B4E">
        <w:rPr>
          <w:rFonts w:ascii="Arial" w:hAnsi="Arial" w:cs="Arial"/>
          <w:sz w:val="24"/>
          <w:szCs w:val="24"/>
        </w:rPr>
        <w:t xml:space="preserve"> likely that some modest net additional borrowing will be required during the remainder of the current financial year.</w:t>
      </w:r>
    </w:p>
    <w:p w:rsidR="008C4AAB" w:rsidP="008C4AAB" w:rsidRDefault="008C4AAB" w14:paraId="2A5593F8" w14:textId="77777777">
      <w:pPr>
        <w:pStyle w:val="NoSpacing"/>
        <w:ind w:left="426"/>
        <w:jc w:val="both"/>
        <w:rPr>
          <w:rFonts w:ascii="Arial" w:hAnsi="Arial" w:cs="Arial"/>
          <w:sz w:val="24"/>
          <w:szCs w:val="24"/>
        </w:rPr>
      </w:pPr>
    </w:p>
    <w:p w:rsidR="008C4AAB" w:rsidP="008C4AAB" w:rsidRDefault="0001284B" w14:paraId="01A43363" w14:textId="1BED8661">
      <w:pPr>
        <w:pStyle w:val="NoSpacing"/>
        <w:numPr>
          <w:ilvl w:val="1"/>
          <w:numId w:val="14"/>
        </w:numPr>
        <w:ind w:left="426" w:hanging="568"/>
        <w:jc w:val="both"/>
        <w:rPr>
          <w:rFonts w:ascii="Arial" w:hAnsi="Arial" w:cs="Arial"/>
          <w:sz w:val="24"/>
          <w:szCs w:val="24"/>
        </w:rPr>
      </w:pPr>
      <w:r w:rsidRPr="008C4AAB">
        <w:rPr>
          <w:rFonts w:ascii="Arial" w:hAnsi="Arial" w:cs="Arial"/>
          <w:sz w:val="24"/>
          <w:szCs w:val="24"/>
        </w:rPr>
        <w:t>The Chief Constables CFO was</w:t>
      </w:r>
      <w:r w:rsidRPr="008C4AAB" w:rsidR="00581B4E">
        <w:rPr>
          <w:rFonts w:ascii="Arial" w:hAnsi="Arial" w:cs="Arial"/>
          <w:sz w:val="24"/>
          <w:szCs w:val="24"/>
        </w:rPr>
        <w:t xml:space="preserve"> satisfied that decisions made in respect of treasury management have been </w:t>
      </w:r>
      <w:r w:rsidRPr="008C4AAB">
        <w:rPr>
          <w:rFonts w:ascii="Arial" w:hAnsi="Arial" w:cs="Arial"/>
          <w:sz w:val="24"/>
          <w:szCs w:val="24"/>
        </w:rPr>
        <w:t>made in line with usual operational activity</w:t>
      </w:r>
      <w:r w:rsidRPr="008C4AAB" w:rsidR="00581B4E">
        <w:rPr>
          <w:rFonts w:ascii="Arial" w:hAnsi="Arial" w:cs="Arial"/>
          <w:sz w:val="24"/>
          <w:szCs w:val="24"/>
        </w:rPr>
        <w:t xml:space="preserve"> and that th</w:t>
      </w:r>
      <w:r w:rsidRPr="008C4AAB">
        <w:rPr>
          <w:rFonts w:ascii="Arial" w:hAnsi="Arial" w:cs="Arial"/>
          <w:sz w:val="24"/>
          <w:szCs w:val="24"/>
        </w:rPr>
        <w:t>e breach</w:t>
      </w:r>
      <w:r w:rsidRPr="008C4AAB" w:rsidR="00581B4E">
        <w:rPr>
          <w:rFonts w:ascii="Arial" w:hAnsi="Arial" w:cs="Arial"/>
          <w:sz w:val="24"/>
          <w:szCs w:val="24"/>
        </w:rPr>
        <w:t xml:space="preserve"> position d</w:t>
      </w:r>
      <w:r w:rsidRPr="008C4AAB">
        <w:rPr>
          <w:rFonts w:ascii="Arial" w:hAnsi="Arial" w:cs="Arial"/>
          <w:sz w:val="24"/>
          <w:szCs w:val="24"/>
        </w:rPr>
        <w:t>id</w:t>
      </w:r>
      <w:r w:rsidRPr="008C4AAB" w:rsidR="00581B4E">
        <w:rPr>
          <w:rFonts w:ascii="Arial" w:hAnsi="Arial" w:cs="Arial"/>
          <w:sz w:val="24"/>
          <w:szCs w:val="24"/>
        </w:rPr>
        <w:t xml:space="preserve"> not arise out of any change to required budgets both revenue and capital</w:t>
      </w:r>
      <w:r w:rsidRPr="008C4AAB">
        <w:rPr>
          <w:rFonts w:ascii="Arial" w:hAnsi="Arial" w:cs="Arial"/>
          <w:sz w:val="24"/>
          <w:szCs w:val="24"/>
        </w:rPr>
        <w:t>, and as such did not give additional concerns as to the financial stability of the organisation.</w:t>
      </w:r>
    </w:p>
    <w:p w:rsidR="008C4AAB" w:rsidP="008C4AAB" w:rsidRDefault="008C4AAB" w14:paraId="465F222D" w14:textId="77777777">
      <w:pPr>
        <w:pStyle w:val="ListParagraph"/>
        <w:spacing w:after="0" w:line="240" w:lineRule="auto"/>
        <w:rPr>
          <w:rFonts w:cs="Arial"/>
          <w:szCs w:val="24"/>
        </w:rPr>
      </w:pPr>
    </w:p>
    <w:p w:rsidR="008C4AAB" w:rsidP="008C4AAB" w:rsidRDefault="00581B4E" w14:paraId="7003A24D" w14:textId="5A60D528">
      <w:pPr>
        <w:pStyle w:val="NoSpacing"/>
        <w:numPr>
          <w:ilvl w:val="1"/>
          <w:numId w:val="14"/>
        </w:numPr>
        <w:ind w:left="426" w:hanging="568"/>
        <w:jc w:val="both"/>
        <w:rPr>
          <w:rFonts w:ascii="Arial" w:hAnsi="Arial" w:cs="Arial"/>
          <w:sz w:val="24"/>
          <w:szCs w:val="24"/>
        </w:rPr>
      </w:pPr>
      <w:r w:rsidRPr="008C4AAB">
        <w:rPr>
          <w:rFonts w:ascii="Arial" w:hAnsi="Arial" w:cs="Arial"/>
          <w:sz w:val="24"/>
          <w:szCs w:val="24"/>
        </w:rPr>
        <w:t>I</w:t>
      </w:r>
      <w:r w:rsidRPr="008C4AAB" w:rsidR="0001284B">
        <w:rPr>
          <w:rFonts w:ascii="Arial" w:hAnsi="Arial" w:cs="Arial"/>
          <w:sz w:val="24"/>
          <w:szCs w:val="24"/>
        </w:rPr>
        <w:t>t should be noted that</w:t>
      </w:r>
      <w:r w:rsidRPr="008C4AAB">
        <w:rPr>
          <w:rFonts w:ascii="Arial" w:hAnsi="Arial" w:cs="Arial"/>
          <w:sz w:val="24"/>
          <w:szCs w:val="24"/>
        </w:rPr>
        <w:t xml:space="preserve"> the operational and authorised limits as part of the last treasury management strategy refresh </w:t>
      </w:r>
      <w:r w:rsidRPr="008C4AAB" w:rsidR="0001284B">
        <w:rPr>
          <w:rFonts w:ascii="Arial" w:hAnsi="Arial" w:cs="Arial"/>
          <w:sz w:val="24"/>
          <w:szCs w:val="24"/>
        </w:rPr>
        <w:t xml:space="preserve">were significantly reduced </w:t>
      </w:r>
      <w:r w:rsidRPr="008C4AAB">
        <w:rPr>
          <w:rFonts w:ascii="Arial" w:hAnsi="Arial" w:cs="Arial"/>
          <w:sz w:val="24"/>
          <w:szCs w:val="24"/>
        </w:rPr>
        <w:t xml:space="preserve">from £95m and £105m </w:t>
      </w:r>
      <w:r w:rsidRPr="008C4AAB">
        <w:rPr>
          <w:rFonts w:ascii="Arial" w:hAnsi="Arial" w:cs="Arial"/>
          <w:sz w:val="24"/>
          <w:szCs w:val="24"/>
        </w:rPr>
        <w:lastRenderedPageBreak/>
        <w:t>respectively</w:t>
      </w:r>
      <w:r w:rsidRPr="008C4AAB" w:rsidR="0001284B">
        <w:rPr>
          <w:rFonts w:ascii="Arial" w:hAnsi="Arial" w:cs="Arial"/>
          <w:sz w:val="24"/>
          <w:szCs w:val="24"/>
        </w:rPr>
        <w:t xml:space="preserve"> to the current levels of £70m and £75m respectively. This</w:t>
      </w:r>
      <w:r w:rsidRPr="008C4AAB" w:rsidR="00C70574">
        <w:rPr>
          <w:rFonts w:ascii="Arial" w:hAnsi="Arial" w:cs="Arial"/>
          <w:sz w:val="24"/>
          <w:szCs w:val="24"/>
        </w:rPr>
        <w:t xml:space="preserve"> was done a time of change in the structure of the OPCC’s office with the current C</w:t>
      </w:r>
      <w:r w:rsidR="00672152">
        <w:rPr>
          <w:rFonts w:ascii="Arial" w:hAnsi="Arial" w:cs="Arial"/>
          <w:sz w:val="24"/>
          <w:szCs w:val="24"/>
        </w:rPr>
        <w:t xml:space="preserve">hief </w:t>
      </w:r>
      <w:r w:rsidRPr="008C4AAB" w:rsidR="00C70574">
        <w:rPr>
          <w:rFonts w:ascii="Arial" w:hAnsi="Arial" w:cs="Arial"/>
          <w:sz w:val="24"/>
          <w:szCs w:val="24"/>
        </w:rPr>
        <w:t>C</w:t>
      </w:r>
      <w:r w:rsidR="00672152">
        <w:rPr>
          <w:rFonts w:ascii="Arial" w:hAnsi="Arial" w:cs="Arial"/>
          <w:sz w:val="24"/>
          <w:szCs w:val="24"/>
        </w:rPr>
        <w:t>onstables</w:t>
      </w:r>
      <w:r w:rsidRPr="008C4AAB" w:rsidR="00C70574">
        <w:rPr>
          <w:rFonts w:ascii="Arial" w:hAnsi="Arial" w:cs="Arial"/>
          <w:sz w:val="24"/>
          <w:szCs w:val="24"/>
        </w:rPr>
        <w:t xml:space="preserve"> CFO operating in a joint CFO role for a temporary basis. At this time of change there was</w:t>
      </w:r>
      <w:r w:rsidRPr="008C4AAB">
        <w:rPr>
          <w:rFonts w:ascii="Arial" w:hAnsi="Arial" w:cs="Arial"/>
          <w:sz w:val="24"/>
          <w:szCs w:val="24"/>
        </w:rPr>
        <w:t xml:space="preserve"> concern about how much these </w:t>
      </w:r>
      <w:r w:rsidRPr="008C4AAB" w:rsidR="00C70574">
        <w:rPr>
          <w:rFonts w:ascii="Arial" w:hAnsi="Arial" w:cs="Arial"/>
          <w:sz w:val="24"/>
          <w:szCs w:val="24"/>
        </w:rPr>
        <w:t xml:space="preserve">limits </w:t>
      </w:r>
      <w:r w:rsidRPr="008C4AAB">
        <w:rPr>
          <w:rFonts w:ascii="Arial" w:hAnsi="Arial" w:cs="Arial"/>
          <w:sz w:val="24"/>
          <w:szCs w:val="24"/>
        </w:rPr>
        <w:t>were above current and projected CFR amounts (approx. £70m)</w:t>
      </w:r>
      <w:r w:rsidRPr="008C4AAB" w:rsidR="00C70574">
        <w:rPr>
          <w:rFonts w:ascii="Arial" w:hAnsi="Arial" w:cs="Arial"/>
          <w:sz w:val="24"/>
          <w:szCs w:val="24"/>
        </w:rPr>
        <w:t>, again at a time that the CFR calculation was under significant scrutiny by the external auditor. A reduction in the limits was, at the time seen as a prudent move.</w:t>
      </w:r>
      <w:r w:rsidRPr="008C4AAB">
        <w:rPr>
          <w:rFonts w:ascii="Arial" w:hAnsi="Arial" w:cs="Arial"/>
          <w:sz w:val="24"/>
          <w:szCs w:val="24"/>
        </w:rPr>
        <w:t xml:space="preserve"> In hindsight</w:t>
      </w:r>
      <w:r w:rsidRPr="008C4AAB" w:rsidR="00C70574">
        <w:rPr>
          <w:rFonts w:ascii="Arial" w:hAnsi="Arial" w:cs="Arial"/>
          <w:sz w:val="24"/>
          <w:szCs w:val="24"/>
        </w:rPr>
        <w:t>,</w:t>
      </w:r>
      <w:r w:rsidRPr="008C4AAB">
        <w:rPr>
          <w:rFonts w:ascii="Arial" w:hAnsi="Arial" w:cs="Arial"/>
          <w:sz w:val="24"/>
          <w:szCs w:val="24"/>
        </w:rPr>
        <w:t xml:space="preserve"> the reduction of £30m</w:t>
      </w:r>
      <w:r w:rsidRPr="008C4AAB" w:rsidR="00C70574">
        <w:rPr>
          <w:rFonts w:ascii="Arial" w:hAnsi="Arial" w:cs="Arial"/>
          <w:sz w:val="24"/>
          <w:szCs w:val="24"/>
        </w:rPr>
        <w:t xml:space="preserve"> did not give sufficient room to manage what became a rapidly changing treasury management activity, with movement from a </w:t>
      </w:r>
      <w:r w:rsidRPr="008C4AAB" w:rsidR="001B4B61">
        <w:rPr>
          <w:rFonts w:ascii="Arial" w:hAnsi="Arial" w:cs="Arial"/>
          <w:sz w:val="24"/>
          <w:szCs w:val="24"/>
        </w:rPr>
        <w:t>higher-than-expected</w:t>
      </w:r>
      <w:r w:rsidRPr="008C4AAB" w:rsidR="00C70574">
        <w:rPr>
          <w:rFonts w:ascii="Arial" w:hAnsi="Arial" w:cs="Arial"/>
          <w:sz w:val="24"/>
          <w:szCs w:val="24"/>
        </w:rPr>
        <w:t xml:space="preserve"> cash positive situation requiring significant investments in a very slow and stable treasury marketplace, to a very </w:t>
      </w:r>
      <w:r w:rsidRPr="008C4AAB" w:rsidR="001B4B61">
        <w:rPr>
          <w:rFonts w:ascii="Arial" w:hAnsi="Arial" w:cs="Arial"/>
          <w:sz w:val="24"/>
          <w:szCs w:val="24"/>
        </w:rPr>
        <w:t>short-term</w:t>
      </w:r>
      <w:r w:rsidRPr="008C4AAB" w:rsidR="00C70574">
        <w:rPr>
          <w:rFonts w:ascii="Arial" w:hAnsi="Arial" w:cs="Arial"/>
          <w:sz w:val="24"/>
          <w:szCs w:val="24"/>
        </w:rPr>
        <w:t xml:space="preserve"> borrowing situation in a</w:t>
      </w:r>
      <w:r w:rsidR="007F6823">
        <w:rPr>
          <w:rFonts w:ascii="Arial" w:hAnsi="Arial" w:cs="Arial"/>
          <w:sz w:val="24"/>
          <w:szCs w:val="24"/>
        </w:rPr>
        <w:t>n</w:t>
      </w:r>
      <w:r w:rsidRPr="008C4AAB" w:rsidR="00C70574">
        <w:rPr>
          <w:rFonts w:ascii="Arial" w:hAnsi="Arial" w:cs="Arial"/>
          <w:sz w:val="24"/>
          <w:szCs w:val="24"/>
        </w:rPr>
        <w:t xml:space="preserve"> upward interest rate spiralling market due to changing Central Government economic policies.</w:t>
      </w:r>
    </w:p>
    <w:p w:rsidRPr="008C4AAB" w:rsidR="008C4AAB" w:rsidP="008C4AAB" w:rsidRDefault="008C4AAB" w14:paraId="56766380" w14:textId="77777777">
      <w:pPr>
        <w:spacing w:after="0" w:line="240" w:lineRule="auto"/>
        <w:rPr>
          <w:rFonts w:cs="Arial"/>
          <w:szCs w:val="24"/>
        </w:rPr>
      </w:pPr>
    </w:p>
    <w:p w:rsidR="008C4AAB" w:rsidP="008C4AAB" w:rsidRDefault="00581B4E" w14:paraId="651731F0" w14:textId="0AA99CDE">
      <w:pPr>
        <w:pStyle w:val="NoSpacing"/>
        <w:numPr>
          <w:ilvl w:val="1"/>
          <w:numId w:val="14"/>
        </w:numPr>
        <w:ind w:left="426" w:hanging="568"/>
        <w:jc w:val="both"/>
        <w:rPr>
          <w:rFonts w:ascii="Arial" w:hAnsi="Arial" w:cs="Arial"/>
          <w:sz w:val="24"/>
          <w:szCs w:val="24"/>
        </w:rPr>
      </w:pPr>
      <w:r w:rsidRPr="008C4AAB">
        <w:rPr>
          <w:rFonts w:ascii="Arial" w:hAnsi="Arial" w:cs="Arial"/>
          <w:sz w:val="24"/>
          <w:szCs w:val="24"/>
        </w:rPr>
        <w:t xml:space="preserve">In </w:t>
      </w:r>
      <w:r w:rsidRPr="008C4AAB" w:rsidR="001B4B61">
        <w:rPr>
          <w:rFonts w:ascii="Arial" w:hAnsi="Arial" w:cs="Arial"/>
          <w:sz w:val="24"/>
          <w:szCs w:val="24"/>
        </w:rPr>
        <w:t>addition,</w:t>
      </w:r>
      <w:r w:rsidRPr="008C4AAB">
        <w:rPr>
          <w:rFonts w:ascii="Arial" w:hAnsi="Arial" w:cs="Arial"/>
          <w:sz w:val="24"/>
          <w:szCs w:val="24"/>
        </w:rPr>
        <w:t xml:space="preserve"> our cashflows have been impacted negatively by a higher than budgeted for Pay award, affecting Police</w:t>
      </w:r>
      <w:r w:rsidR="007F6823">
        <w:rPr>
          <w:rFonts w:ascii="Arial" w:hAnsi="Arial" w:cs="Arial"/>
          <w:sz w:val="24"/>
          <w:szCs w:val="24"/>
        </w:rPr>
        <w:t xml:space="preserve"> Officer</w:t>
      </w:r>
      <w:r w:rsidRPr="008C4AAB">
        <w:rPr>
          <w:rFonts w:ascii="Arial" w:hAnsi="Arial" w:cs="Arial"/>
          <w:sz w:val="24"/>
          <w:szCs w:val="24"/>
        </w:rPr>
        <w:t xml:space="preserve">, </w:t>
      </w:r>
      <w:r w:rsidR="007F6823">
        <w:rPr>
          <w:rFonts w:ascii="Arial" w:hAnsi="Arial" w:cs="Arial"/>
          <w:sz w:val="24"/>
          <w:szCs w:val="24"/>
        </w:rPr>
        <w:t xml:space="preserve">Police </w:t>
      </w:r>
      <w:r w:rsidRPr="008C4AAB">
        <w:rPr>
          <w:rFonts w:ascii="Arial" w:hAnsi="Arial" w:cs="Arial"/>
          <w:sz w:val="24"/>
          <w:szCs w:val="24"/>
        </w:rPr>
        <w:t>Staff and Pension payments as well as the impact of inflation on other Supplies and Services (these have added in excess of £5m to our outgoing cash outflows since June 22).</w:t>
      </w:r>
      <w:r w:rsidRPr="008C4AAB" w:rsidR="00C70574">
        <w:rPr>
          <w:rFonts w:ascii="Arial" w:hAnsi="Arial" w:cs="Arial"/>
          <w:sz w:val="24"/>
          <w:szCs w:val="24"/>
        </w:rPr>
        <w:t xml:space="preserve"> Although, additional investment income and careful management of the Forces operational budgets has meant that expected outturn for 2022-23 remain in line with the budget.</w:t>
      </w:r>
    </w:p>
    <w:p w:rsidR="008C4AAB" w:rsidP="008C4AAB" w:rsidRDefault="008C4AAB" w14:paraId="45E3B421" w14:textId="77777777">
      <w:pPr>
        <w:pStyle w:val="ListParagraph"/>
        <w:spacing w:after="0" w:line="240" w:lineRule="auto"/>
        <w:rPr>
          <w:rFonts w:cs="Arial"/>
          <w:szCs w:val="24"/>
        </w:rPr>
      </w:pPr>
    </w:p>
    <w:p w:rsidR="007F6823" w:rsidP="007F6823" w:rsidRDefault="00581B4E" w14:paraId="5F2C24A8" w14:textId="77777777">
      <w:pPr>
        <w:pStyle w:val="NoSpacing"/>
        <w:numPr>
          <w:ilvl w:val="1"/>
          <w:numId w:val="14"/>
        </w:numPr>
        <w:ind w:left="426" w:hanging="568"/>
        <w:jc w:val="both"/>
        <w:rPr>
          <w:rFonts w:ascii="Arial" w:hAnsi="Arial" w:cs="Arial"/>
          <w:sz w:val="24"/>
          <w:szCs w:val="24"/>
        </w:rPr>
      </w:pPr>
      <w:r w:rsidRPr="008C4AAB">
        <w:rPr>
          <w:rFonts w:ascii="Arial" w:hAnsi="Arial" w:cs="Arial"/>
          <w:sz w:val="24"/>
          <w:szCs w:val="24"/>
        </w:rPr>
        <w:t>In June 22 (when markets were significantly calmer than now) we had a much higher than anticipated pension grant payment of £54m at a time when our liquid investments were at authorised maximums (3</w:t>
      </w:r>
      <w:r w:rsidR="007F6823">
        <w:rPr>
          <w:rFonts w:ascii="Arial" w:hAnsi="Arial" w:cs="Arial"/>
          <w:sz w:val="24"/>
          <w:szCs w:val="24"/>
        </w:rPr>
        <w:t xml:space="preserve"> </w:t>
      </w:r>
      <w:r w:rsidRPr="008C4AAB">
        <w:rPr>
          <w:rFonts w:ascii="Arial" w:hAnsi="Arial" w:cs="Arial"/>
          <w:sz w:val="24"/>
          <w:szCs w:val="24"/>
        </w:rPr>
        <w:t>x</w:t>
      </w:r>
      <w:r w:rsidR="007F6823">
        <w:rPr>
          <w:rFonts w:ascii="Arial" w:hAnsi="Arial" w:cs="Arial"/>
          <w:sz w:val="24"/>
          <w:szCs w:val="24"/>
        </w:rPr>
        <w:t xml:space="preserve"> </w:t>
      </w:r>
      <w:r w:rsidRPr="008C4AAB">
        <w:rPr>
          <w:rFonts w:ascii="Arial" w:hAnsi="Arial" w:cs="Arial"/>
          <w:sz w:val="24"/>
          <w:szCs w:val="24"/>
        </w:rPr>
        <w:t xml:space="preserve">£15m). Given market situations at this time, and to avoid having large volumes of cash not earning any return, we entered into several larger (up to £8m) individual investments, which although less than 12 months, many are not repaid this calendar year and some go into </w:t>
      </w:r>
      <w:r w:rsidRPr="008C4AAB" w:rsidR="004159C8">
        <w:rPr>
          <w:rFonts w:ascii="Arial" w:hAnsi="Arial" w:cs="Arial"/>
          <w:sz w:val="24"/>
          <w:szCs w:val="24"/>
        </w:rPr>
        <w:t xml:space="preserve">the </w:t>
      </w:r>
      <w:r w:rsidRPr="008C4AAB">
        <w:rPr>
          <w:rFonts w:ascii="Arial" w:hAnsi="Arial" w:cs="Arial"/>
          <w:sz w:val="24"/>
          <w:szCs w:val="24"/>
        </w:rPr>
        <w:t>next financial year (</w:t>
      </w:r>
      <w:r w:rsidRPr="008C4AAB" w:rsidR="004159C8">
        <w:rPr>
          <w:rFonts w:ascii="Arial" w:hAnsi="Arial" w:cs="Arial"/>
          <w:sz w:val="24"/>
          <w:szCs w:val="24"/>
        </w:rPr>
        <w:t xml:space="preserve">in </w:t>
      </w:r>
      <w:r w:rsidRPr="008C4AAB">
        <w:rPr>
          <w:rFonts w:ascii="Arial" w:hAnsi="Arial" w:cs="Arial"/>
          <w:sz w:val="24"/>
          <w:szCs w:val="24"/>
        </w:rPr>
        <w:t>all short term investments currently total over £60m).</w:t>
      </w:r>
    </w:p>
    <w:p w:rsidR="007F6823" w:rsidP="007F6823" w:rsidRDefault="007F6823" w14:paraId="3B872BBB" w14:textId="77777777">
      <w:pPr>
        <w:pStyle w:val="ListParagraph"/>
        <w:spacing w:after="0" w:line="240" w:lineRule="auto"/>
        <w:rPr>
          <w:rFonts w:cs="Arial"/>
          <w:szCs w:val="24"/>
        </w:rPr>
      </w:pPr>
    </w:p>
    <w:p w:rsidR="007F6823" w:rsidP="007F6823" w:rsidRDefault="004159C8" w14:paraId="67687A31" w14:textId="77777777">
      <w:pPr>
        <w:pStyle w:val="NoSpacing"/>
        <w:numPr>
          <w:ilvl w:val="1"/>
          <w:numId w:val="14"/>
        </w:numPr>
        <w:ind w:left="426" w:hanging="568"/>
        <w:jc w:val="both"/>
        <w:rPr>
          <w:rFonts w:ascii="Arial" w:hAnsi="Arial" w:cs="Arial"/>
          <w:sz w:val="24"/>
          <w:szCs w:val="24"/>
        </w:rPr>
      </w:pPr>
      <w:r w:rsidRPr="007F6823">
        <w:rPr>
          <w:rFonts w:ascii="Arial" w:hAnsi="Arial" w:cs="Arial"/>
          <w:sz w:val="24"/>
          <w:szCs w:val="24"/>
        </w:rPr>
        <w:t>Again with</w:t>
      </w:r>
      <w:r w:rsidRPr="007F6823" w:rsidR="00581B4E">
        <w:rPr>
          <w:rFonts w:ascii="Arial" w:hAnsi="Arial" w:cs="Arial"/>
          <w:sz w:val="24"/>
          <w:szCs w:val="24"/>
        </w:rPr>
        <w:t xml:space="preserve"> hindsight some cash could have been retained and the breach would have been avoided but this would have reduced investment income and left large amounts of cash (greater than £8m) with our bank </w:t>
      </w:r>
      <w:r w:rsidR="007F6823">
        <w:rPr>
          <w:rFonts w:ascii="Arial" w:hAnsi="Arial" w:cs="Arial"/>
          <w:sz w:val="24"/>
          <w:szCs w:val="24"/>
        </w:rPr>
        <w:t xml:space="preserve">earning minimal interest </w:t>
      </w:r>
      <w:r w:rsidRPr="007F6823" w:rsidR="00581B4E">
        <w:rPr>
          <w:rFonts w:ascii="Arial" w:hAnsi="Arial" w:cs="Arial"/>
          <w:sz w:val="24"/>
          <w:szCs w:val="24"/>
        </w:rPr>
        <w:t>– which in itself would have been in conflict with the principals of our investment strategies.</w:t>
      </w:r>
      <w:r w:rsidRPr="007F6823">
        <w:rPr>
          <w:rFonts w:ascii="Arial" w:hAnsi="Arial" w:cs="Arial"/>
          <w:sz w:val="24"/>
          <w:szCs w:val="24"/>
        </w:rPr>
        <w:t xml:space="preserve"> As stated above treasury management decision were made as to be expected and the breach has arisen because of the artificially low limits that were approved for the 2022-23 Strategy. Although without the unexpected cashflow changes a breach situation would have been unlikely to have occurred.</w:t>
      </w:r>
    </w:p>
    <w:p w:rsidR="007F6823" w:rsidP="007F6823" w:rsidRDefault="007F6823" w14:paraId="2E248D62" w14:textId="77777777">
      <w:pPr>
        <w:pStyle w:val="ListParagraph"/>
        <w:spacing w:after="0" w:line="240" w:lineRule="auto"/>
        <w:rPr>
          <w:rFonts w:cs="Arial"/>
          <w:szCs w:val="24"/>
        </w:rPr>
      </w:pPr>
    </w:p>
    <w:p w:rsidRPr="007F6823" w:rsidR="00EA57ED" w:rsidP="007F6823" w:rsidRDefault="00581B4E" w14:paraId="3B77FD00" w14:textId="7B36264E">
      <w:pPr>
        <w:pStyle w:val="NoSpacing"/>
        <w:numPr>
          <w:ilvl w:val="1"/>
          <w:numId w:val="14"/>
        </w:numPr>
        <w:ind w:left="426" w:hanging="568"/>
        <w:jc w:val="both"/>
        <w:rPr>
          <w:rFonts w:ascii="Arial" w:hAnsi="Arial" w:cs="Arial"/>
          <w:sz w:val="24"/>
          <w:szCs w:val="24"/>
        </w:rPr>
      </w:pPr>
      <w:r w:rsidRPr="007F6823">
        <w:rPr>
          <w:rFonts w:ascii="Arial" w:hAnsi="Arial" w:cs="Arial"/>
          <w:sz w:val="24"/>
          <w:szCs w:val="24"/>
        </w:rPr>
        <w:t>The breach of limits therefore are a culmination of a range of circumstance and decisions that individually were made with the right intentions but collectively has resulted in the current breach situation</w:t>
      </w:r>
      <w:r w:rsidRPr="007F6823" w:rsidR="001B4B61">
        <w:rPr>
          <w:rFonts w:ascii="Arial" w:hAnsi="Arial" w:cs="Arial"/>
          <w:sz w:val="24"/>
          <w:szCs w:val="24"/>
        </w:rPr>
        <w:t>.</w:t>
      </w:r>
    </w:p>
    <w:p w:rsidR="001B4B61" w:rsidP="001B4B61" w:rsidRDefault="001B4B61" w14:paraId="7090FE15" w14:textId="05706E88">
      <w:pPr>
        <w:pStyle w:val="NoSpacing"/>
        <w:rPr>
          <w:rFonts w:ascii="Arial" w:hAnsi="Arial" w:cs="Arial"/>
          <w:sz w:val="24"/>
          <w:szCs w:val="24"/>
        </w:rPr>
      </w:pPr>
    </w:p>
    <w:p w:rsidRPr="009B623D" w:rsidR="00043938" w:rsidP="007F6823" w:rsidRDefault="00233F64" w14:paraId="175AAA29" w14:textId="71A3CF0A">
      <w:pPr>
        <w:pStyle w:val="NoSpacing"/>
        <w:numPr>
          <w:ilvl w:val="0"/>
          <w:numId w:val="14"/>
        </w:numPr>
        <w:pBdr>
          <w:top w:val="single" w:color="auto" w:sz="4" w:space="1"/>
          <w:left w:val="single" w:color="auto" w:sz="4" w:space="4"/>
          <w:bottom w:val="single" w:color="auto" w:sz="4" w:space="1"/>
          <w:right w:val="single" w:color="auto" w:sz="4" w:space="4"/>
          <w:between w:val="single" w:color="auto" w:sz="4" w:space="1"/>
          <w:bar w:val="single" w:color="auto" w:sz="4"/>
        </w:pBdr>
        <w:rPr>
          <w:rFonts w:ascii="Arial" w:hAnsi="Arial" w:cs="Arial"/>
          <w:b/>
          <w:sz w:val="24"/>
          <w:szCs w:val="24"/>
        </w:rPr>
      </w:pPr>
      <w:r>
        <w:rPr>
          <w:rFonts w:ascii="Arial" w:hAnsi="Arial" w:cs="Arial"/>
          <w:b/>
          <w:sz w:val="24"/>
          <w:szCs w:val="24"/>
        </w:rPr>
        <w:t>T</w:t>
      </w:r>
      <w:r w:rsidR="00043938">
        <w:rPr>
          <w:rFonts w:ascii="Arial" w:hAnsi="Arial" w:cs="Arial"/>
          <w:b/>
          <w:sz w:val="24"/>
          <w:szCs w:val="24"/>
        </w:rPr>
        <w:t>reasury Activity</w:t>
      </w:r>
    </w:p>
    <w:p w:rsidRPr="007F6823" w:rsidR="00CD3F0C" w:rsidP="007F6823" w:rsidRDefault="008C1401" w14:paraId="16B97522" w14:textId="327F2CA8">
      <w:pPr>
        <w:spacing w:before="240" w:after="120" w:line="271" w:lineRule="auto"/>
        <w:jc w:val="both"/>
        <w:rPr>
          <w:rStyle w:val="Heading1Char"/>
          <w:rFonts w:eastAsia="Calibri"/>
          <w:sz w:val="24"/>
          <w:szCs w:val="24"/>
        </w:rPr>
      </w:pPr>
      <w:r w:rsidRPr="007F6823">
        <w:rPr>
          <w:rStyle w:val="Heading1Char"/>
          <w:rFonts w:eastAsia="Calibri"/>
          <w:sz w:val="24"/>
          <w:szCs w:val="24"/>
        </w:rPr>
        <w:t xml:space="preserve">6.1 </w:t>
      </w:r>
      <w:r w:rsidRPr="007F6823" w:rsidR="00CD3F0C">
        <w:rPr>
          <w:rStyle w:val="Heading1Char"/>
          <w:rFonts w:eastAsia="Calibri"/>
          <w:sz w:val="24"/>
          <w:szCs w:val="24"/>
        </w:rPr>
        <w:t xml:space="preserve">Investments </w:t>
      </w:r>
      <w:bookmarkStart w:name="_Toc260144062" w:id="1"/>
      <w:bookmarkStart w:name="_Toc260143042" w:id="2"/>
      <w:bookmarkStart w:name="_Toc260128486" w:id="3"/>
      <w:bookmarkStart w:name="_Toc260128222" w:id="4"/>
    </w:p>
    <w:p w:rsidR="00CD3F0C" w:rsidP="00CD3F0C" w:rsidRDefault="00CD3F0C" w14:paraId="0E7F865E" w14:textId="6FA139D1">
      <w:pPr>
        <w:spacing w:line="271" w:lineRule="auto"/>
        <w:ind w:left="426"/>
        <w:jc w:val="both"/>
        <w:rPr>
          <w:rFonts w:cs="Arial"/>
          <w:szCs w:val="24"/>
          <w:lang w:val="en-AU"/>
        </w:rPr>
      </w:pPr>
      <w:r w:rsidRPr="00741FBD">
        <w:rPr>
          <w:rFonts w:cs="Arial"/>
          <w:szCs w:val="24"/>
        </w:rPr>
        <w:t>A</w:t>
      </w:r>
      <w:r>
        <w:rPr>
          <w:rFonts w:cs="Arial"/>
          <w:szCs w:val="24"/>
        </w:rPr>
        <w:t>t the beginning of the year the prolonged period of low return on investments prevailed with the Bank of England interest rate being maintained at historically low levels and the treasury strategy stated that</w:t>
      </w:r>
      <w:r w:rsidRPr="00741FBD">
        <w:rPr>
          <w:rFonts w:cs="Arial"/>
          <w:szCs w:val="24"/>
          <w:lang w:val="en-AU"/>
        </w:rPr>
        <w:t xml:space="preserve"> investment returns </w:t>
      </w:r>
      <w:r>
        <w:rPr>
          <w:rFonts w:cs="Arial"/>
          <w:szCs w:val="24"/>
          <w:lang w:val="en-AU"/>
        </w:rPr>
        <w:t>were</w:t>
      </w:r>
      <w:r w:rsidRPr="00741FBD">
        <w:rPr>
          <w:rFonts w:cs="Arial"/>
          <w:szCs w:val="24"/>
          <w:lang w:val="en-AU"/>
        </w:rPr>
        <w:t xml:space="preserve"> expected to remain low.</w:t>
      </w:r>
      <w:r w:rsidR="008C1401">
        <w:rPr>
          <w:rFonts w:cs="Arial"/>
          <w:szCs w:val="24"/>
          <w:lang w:val="en-AU"/>
        </w:rPr>
        <w:t xml:space="preserve"> </w:t>
      </w:r>
      <w:r>
        <w:rPr>
          <w:rFonts w:cs="Arial"/>
          <w:szCs w:val="24"/>
          <w:lang w:val="en-AU"/>
        </w:rPr>
        <w:t xml:space="preserve">The </w:t>
      </w:r>
      <w:r w:rsidR="008C1401">
        <w:rPr>
          <w:rFonts w:cs="Arial"/>
          <w:szCs w:val="24"/>
          <w:lang w:val="en-AU"/>
        </w:rPr>
        <w:t>A</w:t>
      </w:r>
      <w:r w:rsidRPr="00741FBD">
        <w:rPr>
          <w:rFonts w:cs="Arial"/>
          <w:szCs w:val="24"/>
          <w:lang w:val="en-AU"/>
        </w:rPr>
        <w:t xml:space="preserve">uthority </w:t>
      </w:r>
      <w:r>
        <w:rPr>
          <w:rFonts w:cs="Arial"/>
          <w:szCs w:val="24"/>
          <w:lang w:val="en-AU"/>
        </w:rPr>
        <w:t xml:space="preserve">generally has a net positive short term investment position as a result of timing differences of grants and other income being received in advance of expenditure. This is especially true in June when the Pension grant is received from Government. </w:t>
      </w:r>
    </w:p>
    <w:p w:rsidR="00CD3F0C" w:rsidP="00CD3F0C" w:rsidRDefault="00CD3F0C" w14:paraId="49CAB004" w14:textId="38E240C0">
      <w:pPr>
        <w:spacing w:line="271" w:lineRule="auto"/>
        <w:ind w:left="426"/>
        <w:jc w:val="both"/>
        <w:rPr>
          <w:rFonts w:cs="Arial"/>
          <w:szCs w:val="24"/>
        </w:rPr>
      </w:pPr>
      <w:r>
        <w:rPr>
          <w:rFonts w:cs="Arial"/>
          <w:szCs w:val="24"/>
          <w:lang w:val="en-AU"/>
        </w:rPr>
        <w:lastRenderedPageBreak/>
        <w:t xml:space="preserve">Due to improved budget monitoring, maximising performance reward grants in respect of the uplift programme, an underspend against the 2021-22 budget, greater success in bidding for Government Grants, a much higher pension grant as a result of the increase in </w:t>
      </w:r>
      <w:r w:rsidR="007F6823">
        <w:rPr>
          <w:rFonts w:cs="Arial"/>
          <w:szCs w:val="24"/>
          <w:lang w:val="en-AU"/>
        </w:rPr>
        <w:t xml:space="preserve">Police </w:t>
      </w:r>
      <w:r>
        <w:rPr>
          <w:rFonts w:cs="Arial"/>
          <w:szCs w:val="24"/>
          <w:lang w:val="en-AU"/>
        </w:rPr>
        <w:t xml:space="preserve">Officer numbers as well as those reaching retirement age the organisation has significantly larger cash funds that previous years. Markets were still very flat at this time, and although interest rates had begun a modest climb, </w:t>
      </w:r>
      <w:r w:rsidR="007F6823">
        <w:rPr>
          <w:rFonts w:cs="Arial"/>
          <w:szCs w:val="24"/>
          <w:lang w:val="en-AU"/>
        </w:rPr>
        <w:t>i</w:t>
      </w:r>
      <w:r>
        <w:rPr>
          <w:rFonts w:cs="Arial"/>
          <w:szCs w:val="24"/>
          <w:lang w:val="en-AU"/>
        </w:rPr>
        <w:t>t was difficult to find investment counterparties compliant with our counterparties list. As a result, to make returns and protect against counterparty risk greater value investments for longer, albeit less than 12 months, periods were made. This position will result in an additional £0.5m of earned interest.</w:t>
      </w:r>
    </w:p>
    <w:p w:rsidR="00B64B0E" w:rsidP="00CD3F0C" w:rsidRDefault="00CD3F0C" w14:paraId="0C50D94C" w14:textId="1D8C8F8C">
      <w:pPr>
        <w:spacing w:line="271" w:lineRule="auto"/>
        <w:ind w:left="426"/>
        <w:jc w:val="both"/>
        <w:rPr>
          <w:rFonts w:cs="Arial"/>
          <w:szCs w:val="24"/>
        </w:rPr>
      </w:pPr>
      <w:r w:rsidRPr="00AC6BEF">
        <w:rPr>
          <w:rFonts w:cs="Arial"/>
          <w:szCs w:val="24"/>
        </w:rPr>
        <w:t>The Commissioner held £</w:t>
      </w:r>
      <w:r w:rsidR="008C1401">
        <w:rPr>
          <w:rFonts w:cs="Arial"/>
          <w:szCs w:val="24"/>
        </w:rPr>
        <w:t>74</w:t>
      </w:r>
      <w:r>
        <w:rPr>
          <w:rFonts w:cs="Arial"/>
          <w:szCs w:val="24"/>
        </w:rPr>
        <w:t>.</w:t>
      </w:r>
      <w:r w:rsidR="008C1401">
        <w:rPr>
          <w:rFonts w:cs="Arial"/>
          <w:szCs w:val="24"/>
        </w:rPr>
        <w:t>4</w:t>
      </w:r>
      <w:r w:rsidRPr="00AC6BEF">
        <w:rPr>
          <w:rFonts w:cs="Arial"/>
          <w:szCs w:val="24"/>
        </w:rPr>
        <w:t>m of investments as a</w:t>
      </w:r>
      <w:r w:rsidR="00164323">
        <w:rPr>
          <w:rFonts w:cs="Arial"/>
          <w:szCs w:val="24"/>
        </w:rPr>
        <w:t>t 31</w:t>
      </w:r>
      <w:r w:rsidRPr="00164323" w:rsidR="00164323">
        <w:rPr>
          <w:rFonts w:cs="Arial"/>
          <w:szCs w:val="24"/>
          <w:vertAlign w:val="superscript"/>
        </w:rPr>
        <w:t>st</w:t>
      </w:r>
      <w:r w:rsidR="00164323">
        <w:rPr>
          <w:rFonts w:cs="Arial"/>
          <w:szCs w:val="24"/>
        </w:rPr>
        <w:t xml:space="preserve"> </w:t>
      </w:r>
      <w:r>
        <w:rPr>
          <w:rFonts w:cs="Arial"/>
          <w:szCs w:val="24"/>
        </w:rPr>
        <w:t>October 2022</w:t>
      </w:r>
      <w:r w:rsidRPr="00AC6BEF">
        <w:rPr>
          <w:rFonts w:cs="Arial"/>
          <w:szCs w:val="24"/>
        </w:rPr>
        <w:t xml:space="preserve"> (£</w:t>
      </w:r>
      <w:r w:rsidR="008C1401">
        <w:rPr>
          <w:rFonts w:cs="Arial"/>
          <w:szCs w:val="24"/>
        </w:rPr>
        <w:t>33.4m</w:t>
      </w:r>
      <w:r>
        <w:rPr>
          <w:rFonts w:cs="Arial"/>
          <w:szCs w:val="24"/>
        </w:rPr>
        <w:t xml:space="preserve"> at 31 March 2022</w:t>
      </w:r>
      <w:r w:rsidRPr="00AC6BEF">
        <w:rPr>
          <w:rFonts w:cs="Arial"/>
          <w:szCs w:val="24"/>
        </w:rPr>
        <w:t>) and the weighted investment portfolio yield for the first s</w:t>
      </w:r>
      <w:r w:rsidR="00233F64">
        <w:rPr>
          <w:rFonts w:cs="Arial"/>
          <w:szCs w:val="24"/>
        </w:rPr>
        <w:t>even</w:t>
      </w:r>
      <w:r w:rsidRPr="00AC6BEF">
        <w:rPr>
          <w:rFonts w:cs="Arial"/>
          <w:szCs w:val="24"/>
        </w:rPr>
        <w:t xml:space="preserve"> months of the year is</w:t>
      </w:r>
      <w:r w:rsidR="00164323">
        <w:rPr>
          <w:rFonts w:cs="Arial"/>
          <w:szCs w:val="24"/>
        </w:rPr>
        <w:t xml:space="preserve"> 1.31</w:t>
      </w:r>
      <w:r w:rsidRPr="00AC6BEF">
        <w:rPr>
          <w:rFonts w:cs="Arial"/>
          <w:szCs w:val="24"/>
        </w:rPr>
        <w:t xml:space="preserve">% against </w:t>
      </w:r>
      <w:r w:rsidR="00164323">
        <w:rPr>
          <w:rFonts w:cs="Arial"/>
          <w:szCs w:val="24"/>
        </w:rPr>
        <w:t>the original</w:t>
      </w:r>
      <w:r w:rsidRPr="00AC6BEF">
        <w:rPr>
          <w:rFonts w:cs="Arial"/>
          <w:szCs w:val="24"/>
        </w:rPr>
        <w:t xml:space="preserve"> benchmark of </w:t>
      </w:r>
      <w:r w:rsidR="00164323">
        <w:rPr>
          <w:rFonts w:cs="Arial"/>
          <w:szCs w:val="24"/>
        </w:rPr>
        <w:t>0.10</w:t>
      </w:r>
      <w:r w:rsidR="00D36FD2">
        <w:rPr>
          <w:rFonts w:cs="Arial"/>
          <w:szCs w:val="24"/>
        </w:rPr>
        <w:t>%</w:t>
      </w:r>
      <w:r w:rsidR="00164323">
        <w:rPr>
          <w:rFonts w:cs="Arial"/>
          <w:szCs w:val="24"/>
        </w:rPr>
        <w:t xml:space="preserve"> (now </w:t>
      </w:r>
      <w:r w:rsidR="008364C4">
        <w:rPr>
          <w:rFonts w:cs="Arial"/>
          <w:szCs w:val="24"/>
        </w:rPr>
        <w:t xml:space="preserve">proposed to be </w:t>
      </w:r>
      <w:r w:rsidR="00164323">
        <w:rPr>
          <w:rFonts w:cs="Arial"/>
          <w:szCs w:val="24"/>
        </w:rPr>
        <w:t>amended to 1.3%)</w:t>
      </w:r>
    </w:p>
    <w:tbl>
      <w:tblPr>
        <w:tblW w:w="9295" w:type="dxa"/>
        <w:tblInd w:w="421" w:type="dxa"/>
        <w:tblLook w:val="04A0" w:firstRow="1" w:lastRow="0" w:firstColumn="1" w:lastColumn="0" w:noHBand="0" w:noVBand="1"/>
      </w:tblPr>
      <w:tblGrid>
        <w:gridCol w:w="3402"/>
        <w:gridCol w:w="1417"/>
        <w:gridCol w:w="1559"/>
        <w:gridCol w:w="1500"/>
        <w:gridCol w:w="1417"/>
      </w:tblGrid>
      <w:tr w:rsidRPr="00B64B0E" w:rsidR="00B64B0E" w:rsidTr="00672152" w14:paraId="669D9933" w14:textId="77777777">
        <w:trPr>
          <w:trHeight w:val="600"/>
        </w:trPr>
        <w:tc>
          <w:tcPr>
            <w:tcW w:w="3402" w:type="dxa"/>
            <w:tcBorders>
              <w:top w:val="single" w:color="auto" w:sz="4" w:space="0"/>
              <w:left w:val="single" w:color="auto" w:sz="4" w:space="0"/>
              <w:right w:val="nil"/>
            </w:tcBorders>
            <w:shd w:val="clear" w:color="auto" w:fill="B4C6E7" w:themeFill="accent1" w:themeFillTint="66"/>
            <w:noWrap/>
            <w:vAlign w:val="bottom"/>
            <w:hideMark/>
          </w:tcPr>
          <w:p w:rsidRPr="00B64B0E" w:rsidR="00B64B0E" w:rsidP="00B64B0E" w:rsidRDefault="007F6823" w14:paraId="14ACE69E" w14:textId="0C615B3B">
            <w:pPr>
              <w:spacing w:after="0" w:line="240" w:lineRule="auto"/>
              <w:rPr>
                <w:rFonts w:ascii="Times New Roman" w:hAnsi="Times New Roman" w:eastAsia="Times New Roman"/>
                <w:sz w:val="20"/>
                <w:szCs w:val="24"/>
                <w:lang w:eastAsia="en-GB"/>
              </w:rPr>
            </w:pPr>
            <w:r w:rsidRPr="00B64B0E">
              <w:rPr>
                <w:rFonts w:eastAsia="Times New Roman" w:cs="Arial"/>
                <w:b/>
                <w:bCs/>
                <w:sz w:val="22"/>
                <w:u w:val="single"/>
                <w:lang w:eastAsia="en-GB"/>
              </w:rPr>
              <w:t>Temporary Investment</w:t>
            </w:r>
          </w:p>
        </w:tc>
        <w:tc>
          <w:tcPr>
            <w:tcW w:w="1417" w:type="dxa"/>
            <w:tcBorders>
              <w:top w:val="single" w:color="auto" w:sz="4" w:space="0"/>
              <w:left w:val="single" w:color="auto" w:sz="4" w:space="0"/>
              <w:right w:val="single" w:color="auto" w:sz="4" w:space="0"/>
            </w:tcBorders>
            <w:shd w:val="clear" w:color="auto" w:fill="B4C6E7" w:themeFill="accent1" w:themeFillTint="66"/>
            <w:vAlign w:val="bottom"/>
            <w:hideMark/>
          </w:tcPr>
          <w:p w:rsidRPr="00B64B0E" w:rsidR="00B64B0E" w:rsidP="00B64B0E" w:rsidRDefault="00B64B0E" w14:paraId="4818031B" w14:textId="77777777">
            <w:pPr>
              <w:spacing w:after="0" w:line="240" w:lineRule="auto"/>
              <w:jc w:val="center"/>
              <w:rPr>
                <w:rFonts w:eastAsia="Times New Roman" w:cs="Arial"/>
                <w:b/>
                <w:bCs/>
                <w:sz w:val="22"/>
                <w:lang w:eastAsia="en-GB"/>
              </w:rPr>
            </w:pPr>
            <w:r w:rsidRPr="00B64B0E">
              <w:rPr>
                <w:rFonts w:eastAsia="Times New Roman" w:cs="Arial"/>
                <w:b/>
                <w:bCs/>
                <w:sz w:val="22"/>
                <w:lang w:eastAsia="en-GB"/>
              </w:rPr>
              <w:t>Position @ 01-04-22</w:t>
            </w:r>
          </w:p>
        </w:tc>
        <w:tc>
          <w:tcPr>
            <w:tcW w:w="1559" w:type="dxa"/>
            <w:tcBorders>
              <w:top w:val="single" w:color="auto" w:sz="4" w:space="0"/>
              <w:left w:val="nil"/>
              <w:right w:val="single" w:color="auto" w:sz="4" w:space="0"/>
            </w:tcBorders>
            <w:shd w:val="clear" w:color="auto" w:fill="B4C6E7" w:themeFill="accent1" w:themeFillTint="66"/>
            <w:vAlign w:val="bottom"/>
            <w:hideMark/>
          </w:tcPr>
          <w:p w:rsidRPr="00B64B0E" w:rsidR="00B64B0E" w:rsidP="00B64B0E" w:rsidRDefault="00B64B0E" w14:paraId="5C3BF621" w14:textId="77777777">
            <w:pPr>
              <w:spacing w:after="0" w:line="240" w:lineRule="auto"/>
              <w:jc w:val="center"/>
              <w:rPr>
                <w:rFonts w:eastAsia="Times New Roman" w:cs="Arial"/>
                <w:b/>
                <w:bCs/>
                <w:sz w:val="22"/>
                <w:lang w:eastAsia="en-GB"/>
              </w:rPr>
            </w:pPr>
            <w:r w:rsidRPr="00B64B0E">
              <w:rPr>
                <w:rFonts w:eastAsia="Times New Roman" w:cs="Arial"/>
                <w:b/>
                <w:bCs/>
                <w:sz w:val="22"/>
                <w:lang w:eastAsia="en-GB"/>
              </w:rPr>
              <w:t>Investments made</w:t>
            </w:r>
          </w:p>
        </w:tc>
        <w:tc>
          <w:tcPr>
            <w:tcW w:w="1500" w:type="dxa"/>
            <w:tcBorders>
              <w:top w:val="single" w:color="auto" w:sz="4" w:space="0"/>
              <w:left w:val="nil"/>
              <w:right w:val="single" w:color="auto" w:sz="4" w:space="0"/>
            </w:tcBorders>
            <w:shd w:val="clear" w:color="auto" w:fill="B4C6E7" w:themeFill="accent1" w:themeFillTint="66"/>
            <w:vAlign w:val="bottom"/>
            <w:hideMark/>
          </w:tcPr>
          <w:p w:rsidRPr="00B64B0E" w:rsidR="00B64B0E" w:rsidP="00B64B0E" w:rsidRDefault="00B64B0E" w14:paraId="035E293B" w14:textId="77777777">
            <w:pPr>
              <w:spacing w:after="0" w:line="240" w:lineRule="auto"/>
              <w:jc w:val="center"/>
              <w:rPr>
                <w:rFonts w:eastAsia="Times New Roman" w:cs="Arial"/>
                <w:b/>
                <w:bCs/>
                <w:sz w:val="22"/>
                <w:lang w:eastAsia="en-GB"/>
              </w:rPr>
            </w:pPr>
            <w:r w:rsidRPr="00B64B0E">
              <w:rPr>
                <w:rFonts w:eastAsia="Times New Roman" w:cs="Arial"/>
                <w:b/>
                <w:bCs/>
                <w:sz w:val="22"/>
                <w:lang w:eastAsia="en-GB"/>
              </w:rPr>
              <w:t>Investments withdrawn</w:t>
            </w:r>
          </w:p>
        </w:tc>
        <w:tc>
          <w:tcPr>
            <w:tcW w:w="1417" w:type="dxa"/>
            <w:tcBorders>
              <w:top w:val="single" w:color="auto" w:sz="4" w:space="0"/>
              <w:left w:val="nil"/>
              <w:right w:val="single" w:color="auto" w:sz="4" w:space="0"/>
            </w:tcBorders>
            <w:shd w:val="clear" w:color="auto" w:fill="B4C6E7" w:themeFill="accent1" w:themeFillTint="66"/>
            <w:vAlign w:val="bottom"/>
            <w:hideMark/>
          </w:tcPr>
          <w:p w:rsidRPr="00B64B0E" w:rsidR="00B64B0E" w:rsidP="00B64B0E" w:rsidRDefault="00B64B0E" w14:paraId="4E607CB9" w14:textId="77777777">
            <w:pPr>
              <w:spacing w:after="0" w:line="240" w:lineRule="auto"/>
              <w:jc w:val="center"/>
              <w:rPr>
                <w:rFonts w:eastAsia="Times New Roman" w:cs="Arial"/>
                <w:b/>
                <w:bCs/>
                <w:sz w:val="22"/>
                <w:lang w:eastAsia="en-GB"/>
              </w:rPr>
            </w:pPr>
            <w:r w:rsidRPr="00B64B0E">
              <w:rPr>
                <w:rFonts w:eastAsia="Times New Roman" w:cs="Arial"/>
                <w:b/>
                <w:bCs/>
                <w:sz w:val="22"/>
                <w:lang w:eastAsia="en-GB"/>
              </w:rPr>
              <w:t>Position @ 31-10-22</w:t>
            </w:r>
          </w:p>
        </w:tc>
      </w:tr>
      <w:tr w:rsidRPr="00B64B0E" w:rsidR="00B64B0E" w:rsidTr="00672152" w14:paraId="735AC45E" w14:textId="77777777">
        <w:trPr>
          <w:trHeight w:val="300"/>
        </w:trPr>
        <w:tc>
          <w:tcPr>
            <w:tcW w:w="3402" w:type="dxa"/>
            <w:tcBorders>
              <w:left w:val="single" w:color="auto" w:sz="4" w:space="0"/>
              <w:bottom w:val="single" w:color="auto" w:sz="4" w:space="0"/>
              <w:right w:val="nil"/>
            </w:tcBorders>
            <w:shd w:val="clear" w:color="auto" w:fill="B4C6E7" w:themeFill="accent1" w:themeFillTint="66"/>
            <w:noWrap/>
            <w:vAlign w:val="bottom"/>
            <w:hideMark/>
          </w:tcPr>
          <w:p w:rsidRPr="00B64B0E" w:rsidR="00B64B0E" w:rsidP="00B64B0E" w:rsidRDefault="00B64B0E" w14:paraId="470B2B1E" w14:textId="77777777">
            <w:pPr>
              <w:spacing w:after="0" w:line="240" w:lineRule="auto"/>
              <w:jc w:val="center"/>
              <w:rPr>
                <w:rFonts w:eastAsia="Times New Roman" w:cs="Arial"/>
                <w:b/>
                <w:bCs/>
                <w:sz w:val="22"/>
                <w:lang w:eastAsia="en-GB"/>
              </w:rPr>
            </w:pPr>
          </w:p>
        </w:tc>
        <w:tc>
          <w:tcPr>
            <w:tcW w:w="1417" w:type="dxa"/>
            <w:tcBorders>
              <w:left w:val="single" w:color="auto" w:sz="4" w:space="0"/>
              <w:bottom w:val="single" w:color="auto" w:sz="4" w:space="0"/>
              <w:right w:val="single" w:color="auto" w:sz="4" w:space="0"/>
            </w:tcBorders>
            <w:shd w:val="clear" w:color="auto" w:fill="B4C6E7" w:themeFill="accent1" w:themeFillTint="66"/>
            <w:noWrap/>
            <w:vAlign w:val="bottom"/>
            <w:hideMark/>
          </w:tcPr>
          <w:p w:rsidRPr="00B64B0E" w:rsidR="00B64B0E" w:rsidP="00B64B0E" w:rsidRDefault="00B64B0E" w14:paraId="128205D4" w14:textId="77777777">
            <w:pPr>
              <w:spacing w:after="0" w:line="240" w:lineRule="auto"/>
              <w:jc w:val="center"/>
              <w:rPr>
                <w:rFonts w:eastAsia="Times New Roman" w:cs="Arial"/>
                <w:b/>
                <w:bCs/>
                <w:sz w:val="22"/>
                <w:lang w:eastAsia="en-GB"/>
              </w:rPr>
            </w:pPr>
            <w:r w:rsidRPr="00B64B0E">
              <w:rPr>
                <w:rFonts w:eastAsia="Times New Roman" w:cs="Arial"/>
                <w:b/>
                <w:bCs/>
                <w:sz w:val="22"/>
                <w:lang w:eastAsia="en-GB"/>
              </w:rPr>
              <w:t>£m</w:t>
            </w:r>
          </w:p>
        </w:tc>
        <w:tc>
          <w:tcPr>
            <w:tcW w:w="1559" w:type="dxa"/>
            <w:tcBorders>
              <w:left w:val="nil"/>
              <w:bottom w:val="single" w:color="auto" w:sz="4" w:space="0"/>
              <w:right w:val="single" w:color="auto" w:sz="4" w:space="0"/>
            </w:tcBorders>
            <w:shd w:val="clear" w:color="auto" w:fill="B4C6E7" w:themeFill="accent1" w:themeFillTint="66"/>
            <w:noWrap/>
            <w:vAlign w:val="bottom"/>
            <w:hideMark/>
          </w:tcPr>
          <w:p w:rsidRPr="00B64B0E" w:rsidR="00B64B0E" w:rsidP="00B64B0E" w:rsidRDefault="00B64B0E" w14:paraId="21264705" w14:textId="77777777">
            <w:pPr>
              <w:spacing w:after="0" w:line="240" w:lineRule="auto"/>
              <w:jc w:val="center"/>
              <w:rPr>
                <w:rFonts w:eastAsia="Times New Roman" w:cs="Arial"/>
                <w:b/>
                <w:bCs/>
                <w:sz w:val="22"/>
                <w:lang w:eastAsia="en-GB"/>
              </w:rPr>
            </w:pPr>
            <w:r w:rsidRPr="00B64B0E">
              <w:rPr>
                <w:rFonts w:eastAsia="Times New Roman" w:cs="Arial"/>
                <w:b/>
                <w:bCs/>
                <w:sz w:val="22"/>
                <w:lang w:eastAsia="en-GB"/>
              </w:rPr>
              <w:t>£m</w:t>
            </w:r>
          </w:p>
        </w:tc>
        <w:tc>
          <w:tcPr>
            <w:tcW w:w="1500" w:type="dxa"/>
            <w:tcBorders>
              <w:left w:val="nil"/>
              <w:bottom w:val="single" w:color="auto" w:sz="4" w:space="0"/>
              <w:right w:val="single" w:color="auto" w:sz="4" w:space="0"/>
            </w:tcBorders>
            <w:shd w:val="clear" w:color="auto" w:fill="B4C6E7" w:themeFill="accent1" w:themeFillTint="66"/>
            <w:noWrap/>
            <w:vAlign w:val="bottom"/>
            <w:hideMark/>
          </w:tcPr>
          <w:p w:rsidRPr="00B64B0E" w:rsidR="00B64B0E" w:rsidP="00B64B0E" w:rsidRDefault="00B64B0E" w14:paraId="547F5CB6" w14:textId="77777777">
            <w:pPr>
              <w:spacing w:after="0" w:line="240" w:lineRule="auto"/>
              <w:jc w:val="center"/>
              <w:rPr>
                <w:rFonts w:eastAsia="Times New Roman" w:cs="Arial"/>
                <w:b/>
                <w:bCs/>
                <w:sz w:val="22"/>
                <w:lang w:eastAsia="en-GB"/>
              </w:rPr>
            </w:pPr>
            <w:r w:rsidRPr="00B64B0E">
              <w:rPr>
                <w:rFonts w:eastAsia="Times New Roman" w:cs="Arial"/>
                <w:b/>
                <w:bCs/>
                <w:sz w:val="22"/>
                <w:lang w:eastAsia="en-GB"/>
              </w:rPr>
              <w:t>£m</w:t>
            </w:r>
          </w:p>
        </w:tc>
        <w:tc>
          <w:tcPr>
            <w:tcW w:w="1417" w:type="dxa"/>
            <w:tcBorders>
              <w:left w:val="nil"/>
              <w:bottom w:val="single" w:color="auto" w:sz="4" w:space="0"/>
              <w:right w:val="single" w:color="auto" w:sz="4" w:space="0"/>
            </w:tcBorders>
            <w:shd w:val="clear" w:color="auto" w:fill="B4C6E7" w:themeFill="accent1" w:themeFillTint="66"/>
            <w:noWrap/>
            <w:vAlign w:val="bottom"/>
            <w:hideMark/>
          </w:tcPr>
          <w:p w:rsidRPr="00B64B0E" w:rsidR="00B64B0E" w:rsidP="00B64B0E" w:rsidRDefault="00B64B0E" w14:paraId="3514A06A" w14:textId="77777777">
            <w:pPr>
              <w:spacing w:after="0" w:line="240" w:lineRule="auto"/>
              <w:jc w:val="center"/>
              <w:rPr>
                <w:rFonts w:eastAsia="Times New Roman" w:cs="Arial"/>
                <w:b/>
                <w:bCs/>
                <w:sz w:val="22"/>
                <w:lang w:eastAsia="en-GB"/>
              </w:rPr>
            </w:pPr>
            <w:r w:rsidRPr="00B64B0E">
              <w:rPr>
                <w:rFonts w:eastAsia="Times New Roman" w:cs="Arial"/>
                <w:b/>
                <w:bCs/>
                <w:sz w:val="22"/>
                <w:lang w:eastAsia="en-GB"/>
              </w:rPr>
              <w:t>£m</w:t>
            </w:r>
          </w:p>
        </w:tc>
      </w:tr>
      <w:tr w:rsidRPr="00B64B0E" w:rsidR="00B64B0E" w:rsidTr="00770AAE" w14:paraId="30F0AB1D" w14:textId="77777777">
        <w:trPr>
          <w:trHeight w:val="285"/>
        </w:trPr>
        <w:tc>
          <w:tcPr>
            <w:tcW w:w="3402" w:type="dxa"/>
            <w:tcBorders>
              <w:top w:val="single" w:color="auto" w:sz="4" w:space="0"/>
              <w:left w:val="single" w:color="auto" w:sz="4" w:space="0"/>
              <w:bottom w:val="single" w:color="auto" w:sz="4" w:space="0"/>
              <w:right w:val="nil"/>
            </w:tcBorders>
            <w:shd w:val="clear" w:color="auto" w:fill="auto"/>
            <w:noWrap/>
            <w:vAlign w:val="bottom"/>
            <w:hideMark/>
          </w:tcPr>
          <w:p w:rsidRPr="00B64B0E" w:rsidR="00B64B0E" w:rsidP="00B64B0E" w:rsidRDefault="00B64B0E" w14:paraId="0BBBCD5F" w14:textId="77777777">
            <w:pPr>
              <w:spacing w:after="0" w:line="240" w:lineRule="auto"/>
              <w:rPr>
                <w:rFonts w:eastAsia="Times New Roman" w:cs="Arial"/>
                <w:sz w:val="22"/>
                <w:lang w:eastAsia="en-GB"/>
              </w:rPr>
            </w:pPr>
            <w:r w:rsidRPr="00B64B0E">
              <w:rPr>
                <w:rFonts w:eastAsia="Times New Roman" w:cs="Arial"/>
                <w:sz w:val="22"/>
                <w:lang w:eastAsia="en-GB"/>
              </w:rPr>
              <w:t>Banks</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64B0E" w:rsidR="00B64B0E" w:rsidP="00B64B0E" w:rsidRDefault="00B64B0E" w14:paraId="3EC25E33" w14:textId="77777777">
            <w:pPr>
              <w:spacing w:after="0" w:line="240" w:lineRule="auto"/>
              <w:jc w:val="right"/>
              <w:rPr>
                <w:rFonts w:eastAsia="Times New Roman" w:cs="Arial"/>
                <w:sz w:val="22"/>
                <w:lang w:eastAsia="en-GB"/>
              </w:rPr>
            </w:pPr>
            <w:r w:rsidRPr="00B64B0E">
              <w:rPr>
                <w:rFonts w:eastAsia="Times New Roman" w:cs="Arial"/>
                <w:color w:val="FF0000"/>
                <w:sz w:val="22"/>
                <w:lang w:eastAsia="en-GB"/>
              </w:rPr>
              <w:t>(0.394)</w:t>
            </w:r>
          </w:p>
        </w:tc>
        <w:tc>
          <w:tcPr>
            <w:tcW w:w="1559" w:type="dxa"/>
            <w:tcBorders>
              <w:top w:val="single" w:color="auto" w:sz="4" w:space="0"/>
              <w:left w:val="nil"/>
              <w:bottom w:val="single" w:color="auto" w:sz="4" w:space="0"/>
              <w:right w:val="single" w:color="auto" w:sz="4" w:space="0"/>
            </w:tcBorders>
            <w:shd w:val="clear" w:color="auto" w:fill="auto"/>
            <w:noWrap/>
            <w:vAlign w:val="bottom"/>
            <w:hideMark/>
          </w:tcPr>
          <w:p w:rsidRPr="00B64B0E" w:rsidR="00B64B0E" w:rsidP="00B64B0E" w:rsidRDefault="00B64B0E" w14:paraId="41A49635" w14:textId="77777777">
            <w:pPr>
              <w:spacing w:after="0" w:line="240" w:lineRule="auto"/>
              <w:jc w:val="right"/>
              <w:rPr>
                <w:rFonts w:eastAsia="Times New Roman" w:cs="Arial"/>
                <w:sz w:val="22"/>
                <w:lang w:eastAsia="en-GB"/>
              </w:rPr>
            </w:pPr>
            <w:r w:rsidRPr="00B64B0E">
              <w:rPr>
                <w:rFonts w:eastAsia="Times New Roman" w:cs="Arial"/>
                <w:color w:val="FF0000"/>
                <w:sz w:val="22"/>
                <w:lang w:eastAsia="en-GB"/>
              </w:rPr>
              <w:t>(8.000)</w:t>
            </w:r>
          </w:p>
        </w:tc>
        <w:tc>
          <w:tcPr>
            <w:tcW w:w="1500" w:type="dxa"/>
            <w:tcBorders>
              <w:top w:val="single" w:color="auto" w:sz="4" w:space="0"/>
              <w:left w:val="nil"/>
              <w:bottom w:val="single" w:color="auto" w:sz="4" w:space="0"/>
              <w:right w:val="single" w:color="auto" w:sz="4" w:space="0"/>
            </w:tcBorders>
            <w:shd w:val="clear" w:color="auto" w:fill="auto"/>
            <w:noWrap/>
            <w:vAlign w:val="bottom"/>
            <w:hideMark/>
          </w:tcPr>
          <w:p w:rsidRPr="00B64B0E" w:rsidR="00B64B0E" w:rsidP="00B64B0E" w:rsidRDefault="00B64B0E" w14:paraId="62233443" w14:textId="77777777">
            <w:pPr>
              <w:spacing w:after="0" w:line="240" w:lineRule="auto"/>
              <w:jc w:val="right"/>
              <w:rPr>
                <w:rFonts w:eastAsia="Times New Roman" w:cs="Arial"/>
                <w:sz w:val="22"/>
                <w:lang w:eastAsia="en-GB"/>
              </w:rPr>
            </w:pPr>
            <w:r w:rsidRPr="00B64B0E">
              <w:rPr>
                <w:rFonts w:eastAsia="Times New Roman" w:cs="Arial"/>
                <w:sz w:val="22"/>
                <w:lang w:eastAsia="en-GB"/>
              </w:rPr>
              <w:t>0.519</w:t>
            </w:r>
          </w:p>
        </w:tc>
        <w:tc>
          <w:tcPr>
            <w:tcW w:w="1417" w:type="dxa"/>
            <w:tcBorders>
              <w:top w:val="single" w:color="auto" w:sz="4" w:space="0"/>
              <w:left w:val="nil"/>
              <w:bottom w:val="single" w:color="auto" w:sz="4" w:space="0"/>
              <w:right w:val="single" w:color="auto" w:sz="4" w:space="0"/>
            </w:tcBorders>
            <w:shd w:val="clear" w:color="auto" w:fill="auto"/>
            <w:noWrap/>
            <w:vAlign w:val="bottom"/>
            <w:hideMark/>
          </w:tcPr>
          <w:p w:rsidRPr="00B64B0E" w:rsidR="00B64B0E" w:rsidP="00B64B0E" w:rsidRDefault="00B64B0E" w14:paraId="7B98D357" w14:textId="77777777">
            <w:pPr>
              <w:spacing w:after="0" w:line="240" w:lineRule="auto"/>
              <w:jc w:val="right"/>
              <w:rPr>
                <w:rFonts w:eastAsia="Times New Roman" w:cs="Arial"/>
                <w:sz w:val="22"/>
                <w:lang w:eastAsia="en-GB"/>
              </w:rPr>
            </w:pPr>
            <w:r w:rsidRPr="00B64B0E">
              <w:rPr>
                <w:rFonts w:eastAsia="Times New Roman" w:cs="Arial"/>
                <w:color w:val="FF0000"/>
                <w:sz w:val="22"/>
                <w:lang w:eastAsia="en-GB"/>
              </w:rPr>
              <w:t>(7.875)</w:t>
            </w:r>
          </w:p>
        </w:tc>
      </w:tr>
      <w:tr w:rsidRPr="00B64B0E" w:rsidR="00B64B0E" w:rsidTr="00770AAE" w14:paraId="10C4B3A2" w14:textId="77777777">
        <w:trPr>
          <w:trHeight w:val="285"/>
        </w:trPr>
        <w:tc>
          <w:tcPr>
            <w:tcW w:w="3402" w:type="dxa"/>
            <w:tcBorders>
              <w:top w:val="single" w:color="auto" w:sz="4" w:space="0"/>
              <w:left w:val="single" w:color="auto" w:sz="4" w:space="0"/>
              <w:bottom w:val="single" w:color="auto" w:sz="4" w:space="0"/>
              <w:right w:val="nil"/>
            </w:tcBorders>
            <w:shd w:val="clear" w:color="auto" w:fill="auto"/>
            <w:noWrap/>
            <w:vAlign w:val="bottom"/>
            <w:hideMark/>
          </w:tcPr>
          <w:p w:rsidRPr="00B64B0E" w:rsidR="00B64B0E" w:rsidP="00B64B0E" w:rsidRDefault="00B64B0E" w14:paraId="1BE150C7" w14:textId="77777777">
            <w:pPr>
              <w:spacing w:after="0" w:line="240" w:lineRule="auto"/>
              <w:rPr>
                <w:rFonts w:eastAsia="Times New Roman" w:cs="Arial"/>
                <w:sz w:val="22"/>
                <w:lang w:eastAsia="en-GB"/>
              </w:rPr>
            </w:pPr>
            <w:r w:rsidRPr="00B64B0E">
              <w:rPr>
                <w:rFonts w:eastAsia="Times New Roman" w:cs="Arial"/>
                <w:sz w:val="22"/>
                <w:lang w:eastAsia="en-GB"/>
              </w:rPr>
              <w:t>Building Societies</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64B0E" w:rsidR="00B64B0E" w:rsidP="00B64B0E" w:rsidRDefault="00B64B0E" w14:paraId="2DE4A295" w14:textId="77777777">
            <w:pPr>
              <w:spacing w:after="0" w:line="240" w:lineRule="auto"/>
              <w:jc w:val="right"/>
              <w:rPr>
                <w:rFonts w:eastAsia="Times New Roman" w:cs="Arial"/>
                <w:sz w:val="22"/>
                <w:lang w:eastAsia="en-GB"/>
              </w:rPr>
            </w:pPr>
            <w:r w:rsidRPr="00B64B0E">
              <w:rPr>
                <w:rFonts w:eastAsia="Times New Roman" w:cs="Arial"/>
                <w:sz w:val="22"/>
                <w:lang w:eastAsia="en-GB"/>
              </w:rPr>
              <w:t>0.000</w:t>
            </w:r>
          </w:p>
        </w:tc>
        <w:tc>
          <w:tcPr>
            <w:tcW w:w="1559" w:type="dxa"/>
            <w:tcBorders>
              <w:top w:val="single" w:color="auto" w:sz="4" w:space="0"/>
              <w:left w:val="nil"/>
              <w:bottom w:val="single" w:color="auto" w:sz="4" w:space="0"/>
              <w:right w:val="single" w:color="auto" w:sz="4" w:space="0"/>
            </w:tcBorders>
            <w:shd w:val="clear" w:color="auto" w:fill="auto"/>
            <w:noWrap/>
            <w:vAlign w:val="bottom"/>
            <w:hideMark/>
          </w:tcPr>
          <w:p w:rsidRPr="00B64B0E" w:rsidR="00B64B0E" w:rsidP="00B64B0E" w:rsidRDefault="00B64B0E" w14:paraId="373E0220" w14:textId="77777777">
            <w:pPr>
              <w:spacing w:after="0" w:line="240" w:lineRule="auto"/>
              <w:jc w:val="right"/>
              <w:rPr>
                <w:rFonts w:eastAsia="Times New Roman" w:cs="Arial"/>
                <w:sz w:val="22"/>
                <w:lang w:eastAsia="en-GB"/>
              </w:rPr>
            </w:pPr>
            <w:r w:rsidRPr="00B64B0E">
              <w:rPr>
                <w:rFonts w:eastAsia="Times New Roman" w:cs="Arial"/>
                <w:sz w:val="22"/>
                <w:lang w:eastAsia="en-GB"/>
              </w:rPr>
              <w:t>0.000</w:t>
            </w:r>
          </w:p>
        </w:tc>
        <w:tc>
          <w:tcPr>
            <w:tcW w:w="1500" w:type="dxa"/>
            <w:tcBorders>
              <w:top w:val="single" w:color="auto" w:sz="4" w:space="0"/>
              <w:left w:val="nil"/>
              <w:bottom w:val="single" w:color="auto" w:sz="4" w:space="0"/>
              <w:right w:val="single" w:color="auto" w:sz="4" w:space="0"/>
            </w:tcBorders>
            <w:shd w:val="clear" w:color="auto" w:fill="auto"/>
            <w:noWrap/>
            <w:vAlign w:val="bottom"/>
            <w:hideMark/>
          </w:tcPr>
          <w:p w:rsidRPr="00B64B0E" w:rsidR="00B64B0E" w:rsidP="00B64B0E" w:rsidRDefault="00B64B0E" w14:paraId="60E450DA" w14:textId="77777777">
            <w:pPr>
              <w:spacing w:after="0" w:line="240" w:lineRule="auto"/>
              <w:jc w:val="right"/>
              <w:rPr>
                <w:rFonts w:eastAsia="Times New Roman" w:cs="Arial"/>
                <w:sz w:val="22"/>
                <w:lang w:eastAsia="en-GB"/>
              </w:rPr>
            </w:pPr>
            <w:r w:rsidRPr="00B64B0E">
              <w:rPr>
                <w:rFonts w:eastAsia="Times New Roman" w:cs="Arial"/>
                <w:sz w:val="22"/>
                <w:lang w:eastAsia="en-GB"/>
              </w:rPr>
              <w:t>0.000</w:t>
            </w:r>
          </w:p>
        </w:tc>
        <w:tc>
          <w:tcPr>
            <w:tcW w:w="1417" w:type="dxa"/>
            <w:tcBorders>
              <w:top w:val="single" w:color="auto" w:sz="4" w:space="0"/>
              <w:left w:val="nil"/>
              <w:bottom w:val="single" w:color="auto" w:sz="4" w:space="0"/>
              <w:right w:val="single" w:color="auto" w:sz="4" w:space="0"/>
            </w:tcBorders>
            <w:shd w:val="clear" w:color="auto" w:fill="auto"/>
            <w:noWrap/>
            <w:vAlign w:val="bottom"/>
            <w:hideMark/>
          </w:tcPr>
          <w:p w:rsidRPr="00B64B0E" w:rsidR="00B64B0E" w:rsidP="00B64B0E" w:rsidRDefault="00B64B0E" w14:paraId="31FEA31F" w14:textId="77777777">
            <w:pPr>
              <w:spacing w:after="0" w:line="240" w:lineRule="auto"/>
              <w:jc w:val="right"/>
              <w:rPr>
                <w:rFonts w:eastAsia="Times New Roman" w:cs="Arial"/>
                <w:sz w:val="22"/>
                <w:lang w:eastAsia="en-GB"/>
              </w:rPr>
            </w:pPr>
            <w:r w:rsidRPr="00B64B0E">
              <w:rPr>
                <w:rFonts w:eastAsia="Times New Roman" w:cs="Arial"/>
                <w:sz w:val="22"/>
                <w:lang w:eastAsia="en-GB"/>
              </w:rPr>
              <w:t>0.000</w:t>
            </w:r>
          </w:p>
        </w:tc>
      </w:tr>
      <w:tr w:rsidRPr="00B64B0E" w:rsidR="00B64B0E" w:rsidTr="00770AAE" w14:paraId="18D32BB1" w14:textId="77777777">
        <w:trPr>
          <w:trHeight w:val="285"/>
        </w:trPr>
        <w:tc>
          <w:tcPr>
            <w:tcW w:w="3402" w:type="dxa"/>
            <w:tcBorders>
              <w:top w:val="single" w:color="auto" w:sz="4" w:space="0"/>
              <w:left w:val="single" w:color="auto" w:sz="4" w:space="0"/>
              <w:bottom w:val="single" w:color="auto" w:sz="4" w:space="0"/>
              <w:right w:val="nil"/>
            </w:tcBorders>
            <w:shd w:val="clear" w:color="auto" w:fill="auto"/>
            <w:noWrap/>
            <w:vAlign w:val="bottom"/>
            <w:hideMark/>
          </w:tcPr>
          <w:p w:rsidRPr="00B64B0E" w:rsidR="00B64B0E" w:rsidP="00B64B0E" w:rsidRDefault="00B64B0E" w14:paraId="652BF962" w14:textId="77777777">
            <w:pPr>
              <w:spacing w:after="0" w:line="240" w:lineRule="auto"/>
              <w:rPr>
                <w:rFonts w:eastAsia="Times New Roman" w:cs="Arial"/>
                <w:sz w:val="22"/>
                <w:lang w:eastAsia="en-GB"/>
              </w:rPr>
            </w:pPr>
            <w:r w:rsidRPr="00B64B0E">
              <w:rPr>
                <w:rFonts w:eastAsia="Times New Roman" w:cs="Arial"/>
                <w:sz w:val="22"/>
                <w:lang w:eastAsia="en-GB"/>
              </w:rPr>
              <w:t>Local Authorities</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64B0E" w:rsidR="00B64B0E" w:rsidP="00B64B0E" w:rsidRDefault="00B64B0E" w14:paraId="630B12E5" w14:textId="77777777">
            <w:pPr>
              <w:spacing w:after="0" w:line="240" w:lineRule="auto"/>
              <w:jc w:val="right"/>
              <w:rPr>
                <w:rFonts w:eastAsia="Times New Roman" w:cs="Arial"/>
                <w:sz w:val="22"/>
                <w:lang w:eastAsia="en-GB"/>
              </w:rPr>
            </w:pPr>
            <w:r w:rsidRPr="00B64B0E">
              <w:rPr>
                <w:rFonts w:eastAsia="Times New Roman" w:cs="Arial"/>
                <w:color w:val="FF0000"/>
                <w:sz w:val="22"/>
                <w:lang w:eastAsia="en-GB"/>
              </w:rPr>
              <w:t>(29.000)</w:t>
            </w:r>
          </w:p>
        </w:tc>
        <w:tc>
          <w:tcPr>
            <w:tcW w:w="1559" w:type="dxa"/>
            <w:tcBorders>
              <w:top w:val="single" w:color="auto" w:sz="4" w:space="0"/>
              <w:left w:val="nil"/>
              <w:bottom w:val="single" w:color="auto" w:sz="4" w:space="0"/>
              <w:right w:val="single" w:color="auto" w:sz="4" w:space="0"/>
            </w:tcBorders>
            <w:shd w:val="clear" w:color="auto" w:fill="auto"/>
            <w:noWrap/>
            <w:vAlign w:val="bottom"/>
            <w:hideMark/>
          </w:tcPr>
          <w:p w:rsidRPr="00B64B0E" w:rsidR="00B64B0E" w:rsidP="00B64B0E" w:rsidRDefault="00B64B0E" w14:paraId="3AE0C36B" w14:textId="77777777">
            <w:pPr>
              <w:spacing w:after="0" w:line="240" w:lineRule="auto"/>
              <w:jc w:val="right"/>
              <w:rPr>
                <w:rFonts w:eastAsia="Times New Roman" w:cs="Arial"/>
                <w:sz w:val="22"/>
                <w:lang w:eastAsia="en-GB"/>
              </w:rPr>
            </w:pPr>
            <w:r w:rsidRPr="00B64B0E">
              <w:rPr>
                <w:rFonts w:eastAsia="Times New Roman" w:cs="Arial"/>
                <w:color w:val="FF0000"/>
                <w:sz w:val="22"/>
                <w:lang w:eastAsia="en-GB"/>
              </w:rPr>
              <w:t>(48.000)</w:t>
            </w:r>
          </w:p>
        </w:tc>
        <w:tc>
          <w:tcPr>
            <w:tcW w:w="1500" w:type="dxa"/>
            <w:tcBorders>
              <w:top w:val="single" w:color="auto" w:sz="4" w:space="0"/>
              <w:left w:val="nil"/>
              <w:bottom w:val="single" w:color="auto" w:sz="4" w:space="0"/>
              <w:right w:val="single" w:color="auto" w:sz="4" w:space="0"/>
            </w:tcBorders>
            <w:shd w:val="clear" w:color="auto" w:fill="auto"/>
            <w:noWrap/>
            <w:vAlign w:val="bottom"/>
            <w:hideMark/>
          </w:tcPr>
          <w:p w:rsidRPr="00B64B0E" w:rsidR="00B64B0E" w:rsidP="00B64B0E" w:rsidRDefault="00B64B0E" w14:paraId="5BB5ACBF" w14:textId="77777777">
            <w:pPr>
              <w:spacing w:after="0" w:line="240" w:lineRule="auto"/>
              <w:jc w:val="right"/>
              <w:rPr>
                <w:rFonts w:eastAsia="Times New Roman" w:cs="Arial"/>
                <w:sz w:val="22"/>
                <w:lang w:eastAsia="en-GB"/>
              </w:rPr>
            </w:pPr>
            <w:r w:rsidRPr="00B64B0E">
              <w:rPr>
                <w:rFonts w:eastAsia="Times New Roman" w:cs="Arial"/>
                <w:sz w:val="22"/>
                <w:lang w:eastAsia="en-GB"/>
              </w:rPr>
              <w:t>13.000</w:t>
            </w:r>
          </w:p>
        </w:tc>
        <w:tc>
          <w:tcPr>
            <w:tcW w:w="1417" w:type="dxa"/>
            <w:tcBorders>
              <w:top w:val="single" w:color="auto" w:sz="4" w:space="0"/>
              <w:left w:val="nil"/>
              <w:bottom w:val="single" w:color="auto" w:sz="4" w:space="0"/>
              <w:right w:val="single" w:color="auto" w:sz="4" w:space="0"/>
            </w:tcBorders>
            <w:shd w:val="clear" w:color="auto" w:fill="auto"/>
            <w:noWrap/>
            <w:vAlign w:val="bottom"/>
            <w:hideMark/>
          </w:tcPr>
          <w:p w:rsidRPr="00B64B0E" w:rsidR="00B64B0E" w:rsidP="00B64B0E" w:rsidRDefault="00B64B0E" w14:paraId="63B10329" w14:textId="77777777">
            <w:pPr>
              <w:spacing w:after="0" w:line="240" w:lineRule="auto"/>
              <w:jc w:val="right"/>
              <w:rPr>
                <w:rFonts w:eastAsia="Times New Roman" w:cs="Arial"/>
                <w:sz w:val="22"/>
                <w:lang w:eastAsia="en-GB"/>
              </w:rPr>
            </w:pPr>
            <w:r w:rsidRPr="00B64B0E">
              <w:rPr>
                <w:rFonts w:eastAsia="Times New Roman" w:cs="Arial"/>
                <w:color w:val="FF0000"/>
                <w:sz w:val="22"/>
                <w:lang w:eastAsia="en-GB"/>
              </w:rPr>
              <w:t>(64.000)</w:t>
            </w:r>
          </w:p>
        </w:tc>
      </w:tr>
      <w:tr w:rsidRPr="00B64B0E" w:rsidR="00B64B0E" w:rsidTr="00770AAE" w14:paraId="1A1D7545" w14:textId="77777777">
        <w:trPr>
          <w:trHeight w:val="285"/>
        </w:trPr>
        <w:tc>
          <w:tcPr>
            <w:tcW w:w="3402" w:type="dxa"/>
            <w:tcBorders>
              <w:top w:val="single" w:color="auto" w:sz="4" w:space="0"/>
              <w:left w:val="single" w:color="auto" w:sz="4" w:space="0"/>
              <w:bottom w:val="single" w:color="auto" w:sz="4" w:space="0"/>
              <w:right w:val="nil"/>
            </w:tcBorders>
            <w:shd w:val="clear" w:color="auto" w:fill="auto"/>
            <w:noWrap/>
            <w:vAlign w:val="bottom"/>
            <w:hideMark/>
          </w:tcPr>
          <w:p w:rsidRPr="00B64B0E" w:rsidR="00B64B0E" w:rsidP="00B64B0E" w:rsidRDefault="00B64B0E" w14:paraId="783FD913" w14:textId="77777777">
            <w:pPr>
              <w:spacing w:after="0" w:line="240" w:lineRule="auto"/>
              <w:rPr>
                <w:rFonts w:eastAsia="Times New Roman" w:cs="Arial"/>
                <w:sz w:val="22"/>
                <w:lang w:eastAsia="en-GB"/>
              </w:rPr>
            </w:pPr>
            <w:r w:rsidRPr="00B64B0E">
              <w:rPr>
                <w:rFonts w:eastAsia="Times New Roman" w:cs="Arial"/>
                <w:sz w:val="22"/>
                <w:lang w:eastAsia="en-GB"/>
              </w:rPr>
              <w:t>LVNAV</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64B0E" w:rsidR="00B64B0E" w:rsidP="00B64B0E" w:rsidRDefault="00B64B0E" w14:paraId="44779B73" w14:textId="77777777">
            <w:pPr>
              <w:spacing w:after="0" w:line="240" w:lineRule="auto"/>
              <w:jc w:val="right"/>
              <w:rPr>
                <w:rFonts w:eastAsia="Times New Roman" w:cs="Arial"/>
                <w:sz w:val="22"/>
                <w:lang w:eastAsia="en-GB"/>
              </w:rPr>
            </w:pPr>
            <w:r w:rsidRPr="00B64B0E">
              <w:rPr>
                <w:rFonts w:eastAsia="Times New Roman" w:cs="Arial"/>
                <w:color w:val="FF0000"/>
                <w:sz w:val="22"/>
                <w:lang w:eastAsia="en-GB"/>
              </w:rPr>
              <w:t>(4.000)</w:t>
            </w:r>
          </w:p>
        </w:tc>
        <w:tc>
          <w:tcPr>
            <w:tcW w:w="1559" w:type="dxa"/>
            <w:tcBorders>
              <w:top w:val="single" w:color="auto" w:sz="4" w:space="0"/>
              <w:left w:val="nil"/>
              <w:bottom w:val="single" w:color="auto" w:sz="4" w:space="0"/>
              <w:right w:val="single" w:color="auto" w:sz="4" w:space="0"/>
            </w:tcBorders>
            <w:shd w:val="clear" w:color="auto" w:fill="auto"/>
            <w:noWrap/>
            <w:vAlign w:val="bottom"/>
            <w:hideMark/>
          </w:tcPr>
          <w:p w:rsidRPr="00B64B0E" w:rsidR="00B64B0E" w:rsidP="00B64B0E" w:rsidRDefault="00B64B0E" w14:paraId="3B9353D5" w14:textId="77777777">
            <w:pPr>
              <w:spacing w:after="0" w:line="240" w:lineRule="auto"/>
              <w:jc w:val="right"/>
              <w:rPr>
                <w:rFonts w:eastAsia="Times New Roman" w:cs="Arial"/>
                <w:sz w:val="22"/>
                <w:lang w:eastAsia="en-GB"/>
              </w:rPr>
            </w:pPr>
            <w:r w:rsidRPr="00B64B0E">
              <w:rPr>
                <w:rFonts w:eastAsia="Times New Roman" w:cs="Arial"/>
                <w:color w:val="FF0000"/>
                <w:sz w:val="22"/>
                <w:lang w:eastAsia="en-GB"/>
              </w:rPr>
              <w:t>(160.455)</w:t>
            </w:r>
          </w:p>
        </w:tc>
        <w:tc>
          <w:tcPr>
            <w:tcW w:w="1500" w:type="dxa"/>
            <w:tcBorders>
              <w:top w:val="single" w:color="auto" w:sz="4" w:space="0"/>
              <w:left w:val="nil"/>
              <w:bottom w:val="single" w:color="auto" w:sz="4" w:space="0"/>
              <w:right w:val="single" w:color="auto" w:sz="4" w:space="0"/>
            </w:tcBorders>
            <w:shd w:val="clear" w:color="auto" w:fill="auto"/>
            <w:noWrap/>
            <w:vAlign w:val="bottom"/>
            <w:hideMark/>
          </w:tcPr>
          <w:p w:rsidRPr="00B64B0E" w:rsidR="00B64B0E" w:rsidP="00B64B0E" w:rsidRDefault="00B64B0E" w14:paraId="1E03F00B" w14:textId="77777777">
            <w:pPr>
              <w:spacing w:after="0" w:line="240" w:lineRule="auto"/>
              <w:jc w:val="right"/>
              <w:rPr>
                <w:rFonts w:eastAsia="Times New Roman" w:cs="Arial"/>
                <w:sz w:val="22"/>
                <w:lang w:eastAsia="en-GB"/>
              </w:rPr>
            </w:pPr>
            <w:r w:rsidRPr="00B64B0E">
              <w:rPr>
                <w:rFonts w:eastAsia="Times New Roman" w:cs="Arial"/>
                <w:sz w:val="22"/>
                <w:lang w:eastAsia="en-GB"/>
              </w:rPr>
              <w:t>161.950</w:t>
            </w:r>
          </w:p>
        </w:tc>
        <w:tc>
          <w:tcPr>
            <w:tcW w:w="1417" w:type="dxa"/>
            <w:tcBorders>
              <w:top w:val="single" w:color="auto" w:sz="4" w:space="0"/>
              <w:left w:val="nil"/>
              <w:bottom w:val="single" w:color="auto" w:sz="4" w:space="0"/>
              <w:right w:val="single" w:color="auto" w:sz="4" w:space="0"/>
            </w:tcBorders>
            <w:shd w:val="clear" w:color="auto" w:fill="auto"/>
            <w:noWrap/>
            <w:vAlign w:val="bottom"/>
            <w:hideMark/>
          </w:tcPr>
          <w:p w:rsidRPr="00B64B0E" w:rsidR="00B64B0E" w:rsidP="00B64B0E" w:rsidRDefault="00B64B0E" w14:paraId="181C8B6C" w14:textId="77777777">
            <w:pPr>
              <w:spacing w:after="0" w:line="240" w:lineRule="auto"/>
              <w:jc w:val="right"/>
              <w:rPr>
                <w:rFonts w:eastAsia="Times New Roman" w:cs="Arial"/>
                <w:sz w:val="22"/>
                <w:lang w:eastAsia="en-GB"/>
              </w:rPr>
            </w:pPr>
            <w:r w:rsidRPr="00B64B0E">
              <w:rPr>
                <w:rFonts w:eastAsia="Times New Roman" w:cs="Arial"/>
                <w:color w:val="FF0000"/>
                <w:sz w:val="22"/>
                <w:lang w:eastAsia="en-GB"/>
              </w:rPr>
              <w:t>(2.505)</w:t>
            </w:r>
          </w:p>
        </w:tc>
      </w:tr>
      <w:tr w:rsidRPr="00B64B0E" w:rsidR="00B64B0E" w:rsidTr="00672152" w14:paraId="28E3FC1F" w14:textId="77777777">
        <w:trPr>
          <w:trHeight w:val="300"/>
        </w:trPr>
        <w:tc>
          <w:tcPr>
            <w:tcW w:w="3402" w:type="dxa"/>
            <w:tcBorders>
              <w:top w:val="single" w:color="auto" w:sz="4" w:space="0"/>
              <w:left w:val="single" w:color="auto" w:sz="4" w:space="0"/>
              <w:bottom w:val="single" w:color="auto" w:sz="4" w:space="0"/>
              <w:right w:val="nil"/>
            </w:tcBorders>
            <w:shd w:val="clear" w:color="auto" w:fill="B4C6E7" w:themeFill="accent1" w:themeFillTint="66"/>
            <w:noWrap/>
            <w:vAlign w:val="bottom"/>
            <w:hideMark/>
          </w:tcPr>
          <w:p w:rsidRPr="00B64B0E" w:rsidR="00B64B0E" w:rsidP="00B64B0E" w:rsidRDefault="00B64B0E" w14:paraId="24BD5701" w14:textId="35D97785">
            <w:pPr>
              <w:spacing w:after="0" w:line="240" w:lineRule="auto"/>
              <w:rPr>
                <w:rFonts w:eastAsia="Times New Roman" w:cs="Arial"/>
                <w:b/>
                <w:bCs/>
                <w:sz w:val="22"/>
                <w:lang w:eastAsia="en-GB"/>
              </w:rPr>
            </w:pPr>
            <w:r w:rsidRPr="00B64B0E">
              <w:rPr>
                <w:rFonts w:eastAsia="Times New Roman" w:cs="Arial"/>
                <w:b/>
                <w:bCs/>
                <w:sz w:val="22"/>
                <w:lang w:eastAsia="en-GB"/>
              </w:rPr>
              <w:t xml:space="preserve">Total </w:t>
            </w:r>
            <w:r w:rsidR="007F6823">
              <w:rPr>
                <w:rFonts w:eastAsia="Times New Roman" w:cs="Arial"/>
                <w:b/>
                <w:bCs/>
                <w:sz w:val="22"/>
                <w:lang w:eastAsia="en-GB"/>
              </w:rPr>
              <w:t xml:space="preserve">Short Term </w:t>
            </w:r>
            <w:r w:rsidR="00770AAE">
              <w:rPr>
                <w:rFonts w:eastAsia="Times New Roman" w:cs="Arial"/>
                <w:b/>
                <w:bCs/>
                <w:sz w:val="22"/>
                <w:lang w:eastAsia="en-GB"/>
              </w:rPr>
              <w:t>I</w:t>
            </w:r>
            <w:r w:rsidRPr="00B64B0E">
              <w:rPr>
                <w:rFonts w:eastAsia="Times New Roman" w:cs="Arial"/>
                <w:b/>
                <w:bCs/>
                <w:sz w:val="22"/>
                <w:lang w:eastAsia="en-GB"/>
              </w:rPr>
              <w:t>nvestment</w:t>
            </w:r>
            <w:r w:rsidR="007F6823">
              <w:rPr>
                <w:rFonts w:eastAsia="Times New Roman" w:cs="Arial"/>
                <w:b/>
                <w:bCs/>
                <w:sz w:val="22"/>
                <w:lang w:eastAsia="en-GB"/>
              </w:rPr>
              <w:t>s</w:t>
            </w:r>
          </w:p>
        </w:tc>
        <w:tc>
          <w:tcPr>
            <w:tcW w:w="1417" w:type="dxa"/>
            <w:tcBorders>
              <w:top w:val="single" w:color="auto" w:sz="4" w:space="0"/>
              <w:left w:val="single" w:color="auto" w:sz="4" w:space="0"/>
              <w:bottom w:val="single" w:color="auto" w:sz="4" w:space="0"/>
              <w:right w:val="single" w:color="auto" w:sz="4" w:space="0"/>
            </w:tcBorders>
            <w:shd w:val="clear" w:color="auto" w:fill="B4C6E7" w:themeFill="accent1" w:themeFillTint="66"/>
            <w:noWrap/>
            <w:vAlign w:val="center"/>
            <w:hideMark/>
          </w:tcPr>
          <w:p w:rsidRPr="00B64B0E" w:rsidR="00B64B0E" w:rsidP="00770AAE" w:rsidRDefault="00B64B0E" w14:paraId="0EBF96EF" w14:textId="77777777">
            <w:pPr>
              <w:spacing w:after="0" w:line="240" w:lineRule="auto"/>
              <w:jc w:val="right"/>
              <w:rPr>
                <w:rFonts w:eastAsia="Times New Roman" w:cs="Arial"/>
                <w:b/>
                <w:bCs/>
                <w:sz w:val="22"/>
                <w:lang w:eastAsia="en-GB"/>
              </w:rPr>
            </w:pPr>
            <w:r w:rsidRPr="00B64B0E">
              <w:rPr>
                <w:rFonts w:eastAsia="Times New Roman" w:cs="Arial"/>
                <w:b/>
                <w:bCs/>
                <w:color w:val="FF0000"/>
                <w:sz w:val="22"/>
                <w:lang w:eastAsia="en-GB"/>
              </w:rPr>
              <w:t>(33.394)</w:t>
            </w:r>
          </w:p>
        </w:tc>
        <w:tc>
          <w:tcPr>
            <w:tcW w:w="1559" w:type="dxa"/>
            <w:tcBorders>
              <w:top w:val="single" w:color="auto" w:sz="4" w:space="0"/>
              <w:left w:val="nil"/>
              <w:bottom w:val="single" w:color="auto" w:sz="4" w:space="0"/>
              <w:right w:val="single" w:color="auto" w:sz="4" w:space="0"/>
            </w:tcBorders>
            <w:shd w:val="clear" w:color="auto" w:fill="B4C6E7" w:themeFill="accent1" w:themeFillTint="66"/>
            <w:noWrap/>
            <w:vAlign w:val="center"/>
            <w:hideMark/>
          </w:tcPr>
          <w:p w:rsidRPr="00B64B0E" w:rsidR="00B64B0E" w:rsidP="00770AAE" w:rsidRDefault="00B64B0E" w14:paraId="670E12EF" w14:textId="77777777">
            <w:pPr>
              <w:spacing w:after="0" w:line="240" w:lineRule="auto"/>
              <w:jc w:val="right"/>
              <w:rPr>
                <w:rFonts w:eastAsia="Times New Roman" w:cs="Arial"/>
                <w:b/>
                <w:bCs/>
                <w:sz w:val="22"/>
                <w:lang w:eastAsia="en-GB"/>
              </w:rPr>
            </w:pPr>
            <w:r w:rsidRPr="00B64B0E">
              <w:rPr>
                <w:rFonts w:eastAsia="Times New Roman" w:cs="Arial"/>
                <w:b/>
                <w:bCs/>
                <w:color w:val="FF0000"/>
                <w:sz w:val="22"/>
                <w:lang w:eastAsia="en-GB"/>
              </w:rPr>
              <w:t>(216.455)</w:t>
            </w:r>
          </w:p>
        </w:tc>
        <w:tc>
          <w:tcPr>
            <w:tcW w:w="1500" w:type="dxa"/>
            <w:tcBorders>
              <w:top w:val="single" w:color="auto" w:sz="4" w:space="0"/>
              <w:left w:val="nil"/>
              <w:bottom w:val="single" w:color="auto" w:sz="4" w:space="0"/>
              <w:right w:val="single" w:color="auto" w:sz="4" w:space="0"/>
            </w:tcBorders>
            <w:shd w:val="clear" w:color="auto" w:fill="B4C6E7" w:themeFill="accent1" w:themeFillTint="66"/>
            <w:noWrap/>
            <w:vAlign w:val="center"/>
            <w:hideMark/>
          </w:tcPr>
          <w:p w:rsidRPr="00B64B0E" w:rsidR="00B64B0E" w:rsidP="00770AAE" w:rsidRDefault="00B64B0E" w14:paraId="21F938F0" w14:textId="77777777">
            <w:pPr>
              <w:spacing w:after="0" w:line="240" w:lineRule="auto"/>
              <w:jc w:val="right"/>
              <w:rPr>
                <w:rFonts w:eastAsia="Times New Roman" w:cs="Arial"/>
                <w:b/>
                <w:bCs/>
                <w:sz w:val="22"/>
                <w:lang w:eastAsia="en-GB"/>
              </w:rPr>
            </w:pPr>
            <w:r w:rsidRPr="00B64B0E">
              <w:rPr>
                <w:rFonts w:eastAsia="Times New Roman" w:cs="Arial"/>
                <w:b/>
                <w:bCs/>
                <w:sz w:val="22"/>
                <w:lang w:eastAsia="en-GB"/>
              </w:rPr>
              <w:t>175.469</w:t>
            </w:r>
          </w:p>
        </w:tc>
        <w:tc>
          <w:tcPr>
            <w:tcW w:w="1417" w:type="dxa"/>
            <w:tcBorders>
              <w:top w:val="single" w:color="auto" w:sz="4" w:space="0"/>
              <w:left w:val="nil"/>
              <w:bottom w:val="single" w:color="auto" w:sz="4" w:space="0"/>
              <w:right w:val="single" w:color="auto" w:sz="4" w:space="0"/>
            </w:tcBorders>
            <w:shd w:val="clear" w:color="auto" w:fill="B4C6E7" w:themeFill="accent1" w:themeFillTint="66"/>
            <w:noWrap/>
            <w:vAlign w:val="center"/>
            <w:hideMark/>
          </w:tcPr>
          <w:p w:rsidRPr="00B64B0E" w:rsidR="00B64B0E" w:rsidP="00770AAE" w:rsidRDefault="00B64B0E" w14:paraId="710A080E" w14:textId="77777777">
            <w:pPr>
              <w:spacing w:after="0" w:line="240" w:lineRule="auto"/>
              <w:jc w:val="right"/>
              <w:rPr>
                <w:rFonts w:eastAsia="Times New Roman" w:cs="Arial"/>
                <w:b/>
                <w:bCs/>
                <w:sz w:val="22"/>
                <w:lang w:eastAsia="en-GB"/>
              </w:rPr>
            </w:pPr>
            <w:r w:rsidRPr="00B64B0E">
              <w:rPr>
                <w:rFonts w:eastAsia="Times New Roman" w:cs="Arial"/>
                <w:b/>
                <w:bCs/>
                <w:color w:val="FF0000"/>
                <w:sz w:val="22"/>
                <w:lang w:eastAsia="en-GB"/>
              </w:rPr>
              <w:t>(74.380)</w:t>
            </w:r>
          </w:p>
        </w:tc>
      </w:tr>
      <w:tr w:rsidRPr="00B64B0E" w:rsidR="00B64B0E" w:rsidTr="00770AAE" w14:paraId="7AA5D2BE" w14:textId="77777777">
        <w:trPr>
          <w:trHeight w:val="300"/>
        </w:trPr>
        <w:tc>
          <w:tcPr>
            <w:tcW w:w="3402" w:type="dxa"/>
            <w:tcBorders>
              <w:top w:val="nil"/>
              <w:left w:val="nil"/>
              <w:bottom w:val="single" w:color="auto" w:sz="4" w:space="0"/>
              <w:right w:val="nil"/>
            </w:tcBorders>
            <w:shd w:val="clear" w:color="auto" w:fill="auto"/>
            <w:noWrap/>
            <w:vAlign w:val="bottom"/>
            <w:hideMark/>
          </w:tcPr>
          <w:p w:rsidRPr="00B64B0E" w:rsidR="00B64B0E" w:rsidP="00B64B0E" w:rsidRDefault="00B64B0E" w14:paraId="6771E851" w14:textId="77777777">
            <w:pPr>
              <w:spacing w:after="0" w:line="240" w:lineRule="auto"/>
              <w:rPr>
                <w:rFonts w:ascii="Times New Roman" w:hAnsi="Times New Roman" w:eastAsia="Times New Roman"/>
                <w:sz w:val="20"/>
                <w:szCs w:val="20"/>
                <w:lang w:eastAsia="en-GB"/>
              </w:rPr>
            </w:pPr>
          </w:p>
        </w:tc>
        <w:tc>
          <w:tcPr>
            <w:tcW w:w="1417" w:type="dxa"/>
            <w:tcBorders>
              <w:top w:val="nil"/>
              <w:left w:val="nil"/>
              <w:bottom w:val="single" w:color="auto" w:sz="4" w:space="0"/>
              <w:right w:val="nil"/>
            </w:tcBorders>
            <w:shd w:val="clear" w:color="auto" w:fill="auto"/>
            <w:noWrap/>
            <w:vAlign w:val="bottom"/>
            <w:hideMark/>
          </w:tcPr>
          <w:p w:rsidRPr="00B64B0E" w:rsidR="00B64B0E" w:rsidP="00B64B0E" w:rsidRDefault="00B64B0E" w14:paraId="17EA5AB2" w14:textId="77777777">
            <w:pPr>
              <w:spacing w:after="0" w:line="240" w:lineRule="auto"/>
              <w:rPr>
                <w:rFonts w:ascii="Times New Roman" w:hAnsi="Times New Roman" w:eastAsia="Times New Roman"/>
                <w:sz w:val="20"/>
                <w:szCs w:val="20"/>
                <w:lang w:eastAsia="en-GB"/>
              </w:rPr>
            </w:pPr>
          </w:p>
        </w:tc>
        <w:tc>
          <w:tcPr>
            <w:tcW w:w="1559" w:type="dxa"/>
            <w:tcBorders>
              <w:top w:val="nil"/>
              <w:left w:val="nil"/>
              <w:bottom w:val="single" w:color="auto" w:sz="4" w:space="0"/>
              <w:right w:val="nil"/>
            </w:tcBorders>
            <w:shd w:val="clear" w:color="auto" w:fill="auto"/>
            <w:noWrap/>
            <w:vAlign w:val="bottom"/>
            <w:hideMark/>
          </w:tcPr>
          <w:p w:rsidRPr="00B64B0E" w:rsidR="00B64B0E" w:rsidP="00B64B0E" w:rsidRDefault="00B64B0E" w14:paraId="14A62E64" w14:textId="77777777">
            <w:pPr>
              <w:spacing w:after="0" w:line="240" w:lineRule="auto"/>
              <w:rPr>
                <w:rFonts w:ascii="Times New Roman" w:hAnsi="Times New Roman" w:eastAsia="Times New Roman"/>
                <w:sz w:val="20"/>
                <w:szCs w:val="20"/>
                <w:lang w:eastAsia="en-GB"/>
              </w:rPr>
            </w:pPr>
          </w:p>
        </w:tc>
        <w:tc>
          <w:tcPr>
            <w:tcW w:w="1500" w:type="dxa"/>
            <w:tcBorders>
              <w:top w:val="nil"/>
              <w:left w:val="nil"/>
              <w:bottom w:val="single" w:color="auto" w:sz="4" w:space="0"/>
              <w:right w:val="nil"/>
            </w:tcBorders>
            <w:shd w:val="clear" w:color="auto" w:fill="auto"/>
            <w:noWrap/>
            <w:vAlign w:val="bottom"/>
            <w:hideMark/>
          </w:tcPr>
          <w:p w:rsidRPr="00B64B0E" w:rsidR="00B64B0E" w:rsidP="00B64B0E" w:rsidRDefault="00B64B0E" w14:paraId="464E6FFE" w14:textId="77777777">
            <w:pPr>
              <w:spacing w:after="0" w:line="240" w:lineRule="auto"/>
              <w:rPr>
                <w:rFonts w:ascii="Times New Roman" w:hAnsi="Times New Roman" w:eastAsia="Times New Roman"/>
                <w:sz w:val="20"/>
                <w:szCs w:val="20"/>
                <w:lang w:eastAsia="en-GB"/>
              </w:rPr>
            </w:pPr>
          </w:p>
        </w:tc>
        <w:tc>
          <w:tcPr>
            <w:tcW w:w="1417" w:type="dxa"/>
            <w:tcBorders>
              <w:top w:val="nil"/>
              <w:left w:val="nil"/>
              <w:bottom w:val="single" w:color="auto" w:sz="4" w:space="0"/>
              <w:right w:val="nil"/>
            </w:tcBorders>
            <w:shd w:val="clear" w:color="auto" w:fill="auto"/>
            <w:noWrap/>
            <w:vAlign w:val="bottom"/>
            <w:hideMark/>
          </w:tcPr>
          <w:p w:rsidRPr="00B64B0E" w:rsidR="00B64B0E" w:rsidP="00B64B0E" w:rsidRDefault="00B64B0E" w14:paraId="4A2B4FEB" w14:textId="77777777">
            <w:pPr>
              <w:spacing w:after="0" w:line="240" w:lineRule="auto"/>
              <w:rPr>
                <w:rFonts w:ascii="Times New Roman" w:hAnsi="Times New Roman" w:eastAsia="Times New Roman"/>
                <w:sz w:val="20"/>
                <w:szCs w:val="20"/>
                <w:lang w:eastAsia="en-GB"/>
              </w:rPr>
            </w:pPr>
          </w:p>
        </w:tc>
      </w:tr>
      <w:tr w:rsidRPr="00B64B0E" w:rsidR="00B64B0E" w:rsidTr="00672152" w14:paraId="13398F5B" w14:textId="77777777">
        <w:trPr>
          <w:trHeight w:val="600"/>
        </w:trPr>
        <w:tc>
          <w:tcPr>
            <w:tcW w:w="3402" w:type="dxa"/>
            <w:tcBorders>
              <w:top w:val="single" w:color="auto" w:sz="4" w:space="0"/>
              <w:left w:val="single" w:color="auto" w:sz="4" w:space="0"/>
              <w:right w:val="nil"/>
            </w:tcBorders>
            <w:shd w:val="clear" w:color="auto" w:fill="B4C6E7" w:themeFill="accent1" w:themeFillTint="66"/>
            <w:noWrap/>
            <w:vAlign w:val="center"/>
            <w:hideMark/>
          </w:tcPr>
          <w:p w:rsidRPr="00B64B0E" w:rsidR="00B64B0E" w:rsidP="00B64B0E" w:rsidRDefault="007F6823" w14:paraId="4692C433" w14:textId="7655BBED">
            <w:pPr>
              <w:spacing w:after="0" w:line="240" w:lineRule="auto"/>
              <w:rPr>
                <w:rFonts w:ascii="Times New Roman" w:hAnsi="Times New Roman" w:eastAsia="Times New Roman"/>
                <w:sz w:val="20"/>
                <w:szCs w:val="20"/>
                <w:lang w:eastAsia="en-GB"/>
              </w:rPr>
            </w:pPr>
            <w:r>
              <w:rPr>
                <w:rFonts w:eastAsia="Times New Roman" w:cs="Arial"/>
                <w:b/>
                <w:bCs/>
                <w:sz w:val="22"/>
                <w:u w:val="single"/>
                <w:lang w:eastAsia="en-GB"/>
              </w:rPr>
              <w:t xml:space="preserve">Other </w:t>
            </w:r>
            <w:r w:rsidRPr="00B64B0E">
              <w:rPr>
                <w:rFonts w:eastAsia="Times New Roman" w:cs="Arial"/>
                <w:b/>
                <w:bCs/>
                <w:sz w:val="22"/>
                <w:u w:val="single"/>
                <w:lang w:eastAsia="en-GB"/>
              </w:rPr>
              <w:t>Investment</w:t>
            </w:r>
            <w:r>
              <w:rPr>
                <w:rFonts w:eastAsia="Times New Roman" w:cs="Arial"/>
                <w:b/>
                <w:bCs/>
                <w:sz w:val="22"/>
                <w:u w:val="single"/>
                <w:lang w:eastAsia="en-GB"/>
              </w:rPr>
              <w:t>s</w:t>
            </w:r>
            <w:r w:rsidRPr="00B64B0E">
              <w:rPr>
                <w:rFonts w:eastAsia="Times New Roman" w:cs="Arial"/>
                <w:b/>
                <w:bCs/>
                <w:sz w:val="22"/>
                <w:u w:val="single"/>
                <w:lang w:eastAsia="en-GB"/>
              </w:rPr>
              <w:t>:</w:t>
            </w:r>
          </w:p>
        </w:tc>
        <w:tc>
          <w:tcPr>
            <w:tcW w:w="1417" w:type="dxa"/>
            <w:tcBorders>
              <w:top w:val="single" w:color="auto" w:sz="4" w:space="0"/>
              <w:left w:val="single" w:color="auto" w:sz="4" w:space="0"/>
              <w:right w:val="single" w:color="auto" w:sz="4" w:space="0"/>
            </w:tcBorders>
            <w:shd w:val="clear" w:color="auto" w:fill="B4C6E7" w:themeFill="accent1" w:themeFillTint="66"/>
            <w:vAlign w:val="bottom"/>
            <w:hideMark/>
          </w:tcPr>
          <w:p w:rsidRPr="00B64B0E" w:rsidR="00B64B0E" w:rsidP="00B64B0E" w:rsidRDefault="00B64B0E" w14:paraId="077DB811" w14:textId="4B719B80">
            <w:pPr>
              <w:spacing w:after="0" w:line="240" w:lineRule="auto"/>
              <w:jc w:val="center"/>
              <w:rPr>
                <w:rFonts w:eastAsia="Times New Roman" w:cs="Arial"/>
                <w:b/>
                <w:bCs/>
                <w:sz w:val="22"/>
                <w:lang w:eastAsia="en-GB"/>
              </w:rPr>
            </w:pPr>
            <w:r w:rsidRPr="00B64B0E">
              <w:rPr>
                <w:rFonts w:eastAsia="Times New Roman" w:cs="Arial"/>
                <w:b/>
                <w:bCs/>
                <w:sz w:val="22"/>
                <w:lang w:eastAsia="en-GB"/>
              </w:rPr>
              <w:t>Position @ 01-04-2</w:t>
            </w:r>
            <w:r>
              <w:rPr>
                <w:rFonts w:eastAsia="Times New Roman" w:cs="Arial"/>
                <w:b/>
                <w:bCs/>
                <w:sz w:val="22"/>
                <w:lang w:eastAsia="en-GB"/>
              </w:rPr>
              <w:t>2</w:t>
            </w:r>
          </w:p>
        </w:tc>
        <w:tc>
          <w:tcPr>
            <w:tcW w:w="1559" w:type="dxa"/>
            <w:tcBorders>
              <w:top w:val="single" w:color="auto" w:sz="4" w:space="0"/>
              <w:left w:val="nil"/>
              <w:right w:val="single" w:color="auto" w:sz="4" w:space="0"/>
            </w:tcBorders>
            <w:shd w:val="clear" w:color="auto" w:fill="B4C6E7" w:themeFill="accent1" w:themeFillTint="66"/>
            <w:vAlign w:val="bottom"/>
            <w:hideMark/>
          </w:tcPr>
          <w:p w:rsidRPr="00B64B0E" w:rsidR="00B64B0E" w:rsidP="00B64B0E" w:rsidRDefault="00B64B0E" w14:paraId="7D0B07FD" w14:textId="77777777">
            <w:pPr>
              <w:spacing w:after="0" w:line="240" w:lineRule="auto"/>
              <w:jc w:val="center"/>
              <w:rPr>
                <w:rFonts w:eastAsia="Times New Roman" w:cs="Arial"/>
                <w:b/>
                <w:bCs/>
                <w:sz w:val="22"/>
                <w:lang w:eastAsia="en-GB"/>
              </w:rPr>
            </w:pPr>
            <w:r w:rsidRPr="00B64B0E">
              <w:rPr>
                <w:rFonts w:eastAsia="Times New Roman" w:cs="Arial"/>
                <w:b/>
                <w:bCs/>
                <w:sz w:val="22"/>
                <w:lang w:eastAsia="en-GB"/>
              </w:rPr>
              <w:t>Investments made</w:t>
            </w:r>
          </w:p>
        </w:tc>
        <w:tc>
          <w:tcPr>
            <w:tcW w:w="1500" w:type="dxa"/>
            <w:tcBorders>
              <w:top w:val="single" w:color="auto" w:sz="4" w:space="0"/>
              <w:left w:val="nil"/>
              <w:right w:val="single" w:color="auto" w:sz="4" w:space="0"/>
            </w:tcBorders>
            <w:shd w:val="clear" w:color="auto" w:fill="B4C6E7" w:themeFill="accent1" w:themeFillTint="66"/>
            <w:vAlign w:val="bottom"/>
            <w:hideMark/>
          </w:tcPr>
          <w:p w:rsidRPr="00B64B0E" w:rsidR="00B64B0E" w:rsidP="00B64B0E" w:rsidRDefault="00B64B0E" w14:paraId="2B3E6E5F" w14:textId="77777777">
            <w:pPr>
              <w:spacing w:after="0" w:line="240" w:lineRule="auto"/>
              <w:jc w:val="center"/>
              <w:rPr>
                <w:rFonts w:eastAsia="Times New Roman" w:cs="Arial"/>
                <w:b/>
                <w:bCs/>
                <w:sz w:val="22"/>
                <w:lang w:eastAsia="en-GB"/>
              </w:rPr>
            </w:pPr>
            <w:r w:rsidRPr="00B64B0E">
              <w:rPr>
                <w:rFonts w:eastAsia="Times New Roman" w:cs="Arial"/>
                <w:b/>
                <w:bCs/>
                <w:sz w:val="22"/>
                <w:lang w:eastAsia="en-GB"/>
              </w:rPr>
              <w:t>Investments withdrawn</w:t>
            </w:r>
          </w:p>
        </w:tc>
        <w:tc>
          <w:tcPr>
            <w:tcW w:w="1417" w:type="dxa"/>
            <w:tcBorders>
              <w:top w:val="single" w:color="auto" w:sz="4" w:space="0"/>
              <w:left w:val="nil"/>
              <w:right w:val="single" w:color="auto" w:sz="4" w:space="0"/>
            </w:tcBorders>
            <w:shd w:val="clear" w:color="auto" w:fill="B4C6E7" w:themeFill="accent1" w:themeFillTint="66"/>
            <w:vAlign w:val="bottom"/>
            <w:hideMark/>
          </w:tcPr>
          <w:p w:rsidRPr="00B64B0E" w:rsidR="00B64B0E" w:rsidP="00B64B0E" w:rsidRDefault="00B64B0E" w14:paraId="151CF6ED" w14:textId="388DABA9">
            <w:pPr>
              <w:spacing w:after="0" w:line="240" w:lineRule="auto"/>
              <w:jc w:val="center"/>
              <w:rPr>
                <w:rFonts w:eastAsia="Times New Roman" w:cs="Arial"/>
                <w:b/>
                <w:bCs/>
                <w:sz w:val="22"/>
                <w:lang w:eastAsia="en-GB"/>
              </w:rPr>
            </w:pPr>
            <w:r w:rsidRPr="00B64B0E">
              <w:rPr>
                <w:rFonts w:eastAsia="Times New Roman" w:cs="Arial"/>
                <w:b/>
                <w:bCs/>
                <w:sz w:val="22"/>
                <w:lang w:eastAsia="en-GB"/>
              </w:rPr>
              <w:t>Position @ 30-</w:t>
            </w:r>
            <w:r w:rsidR="00164323">
              <w:rPr>
                <w:rFonts w:eastAsia="Times New Roman" w:cs="Arial"/>
                <w:b/>
                <w:bCs/>
                <w:sz w:val="22"/>
                <w:lang w:eastAsia="en-GB"/>
              </w:rPr>
              <w:t>10</w:t>
            </w:r>
            <w:r w:rsidRPr="00B64B0E">
              <w:rPr>
                <w:rFonts w:eastAsia="Times New Roman" w:cs="Arial"/>
                <w:b/>
                <w:bCs/>
                <w:sz w:val="22"/>
                <w:lang w:eastAsia="en-GB"/>
              </w:rPr>
              <w:t>-2</w:t>
            </w:r>
            <w:r>
              <w:rPr>
                <w:rFonts w:eastAsia="Times New Roman" w:cs="Arial"/>
                <w:b/>
                <w:bCs/>
                <w:sz w:val="22"/>
                <w:lang w:eastAsia="en-GB"/>
              </w:rPr>
              <w:t>2</w:t>
            </w:r>
          </w:p>
        </w:tc>
      </w:tr>
      <w:tr w:rsidRPr="00B64B0E" w:rsidR="00B64B0E" w:rsidTr="00672152" w14:paraId="479EC6C8" w14:textId="77777777">
        <w:trPr>
          <w:trHeight w:val="300"/>
        </w:trPr>
        <w:tc>
          <w:tcPr>
            <w:tcW w:w="3402" w:type="dxa"/>
            <w:tcBorders>
              <w:left w:val="single" w:color="auto" w:sz="4" w:space="0"/>
              <w:bottom w:val="single" w:color="auto" w:sz="4" w:space="0"/>
              <w:right w:val="nil"/>
            </w:tcBorders>
            <w:shd w:val="clear" w:color="auto" w:fill="B4C6E7" w:themeFill="accent1" w:themeFillTint="66"/>
            <w:noWrap/>
            <w:vAlign w:val="bottom"/>
            <w:hideMark/>
          </w:tcPr>
          <w:p w:rsidRPr="00B64B0E" w:rsidR="00B64B0E" w:rsidP="00B64B0E" w:rsidRDefault="00B64B0E" w14:paraId="223D64CF" w14:textId="77777777">
            <w:pPr>
              <w:spacing w:after="0" w:line="240" w:lineRule="auto"/>
              <w:jc w:val="center"/>
              <w:rPr>
                <w:rFonts w:eastAsia="Times New Roman" w:cs="Arial"/>
                <w:b/>
                <w:bCs/>
                <w:sz w:val="22"/>
                <w:lang w:eastAsia="en-GB"/>
              </w:rPr>
            </w:pPr>
          </w:p>
        </w:tc>
        <w:tc>
          <w:tcPr>
            <w:tcW w:w="1417" w:type="dxa"/>
            <w:tcBorders>
              <w:left w:val="single" w:color="auto" w:sz="4" w:space="0"/>
              <w:bottom w:val="single" w:color="auto" w:sz="4" w:space="0"/>
              <w:right w:val="single" w:color="auto" w:sz="4" w:space="0"/>
            </w:tcBorders>
            <w:shd w:val="clear" w:color="auto" w:fill="B4C6E7" w:themeFill="accent1" w:themeFillTint="66"/>
            <w:noWrap/>
            <w:vAlign w:val="bottom"/>
            <w:hideMark/>
          </w:tcPr>
          <w:p w:rsidRPr="00B64B0E" w:rsidR="00B64B0E" w:rsidP="00B64B0E" w:rsidRDefault="00B64B0E" w14:paraId="28512F5E" w14:textId="77777777">
            <w:pPr>
              <w:spacing w:after="0" w:line="240" w:lineRule="auto"/>
              <w:jc w:val="center"/>
              <w:rPr>
                <w:rFonts w:eastAsia="Times New Roman" w:cs="Arial"/>
                <w:b/>
                <w:bCs/>
                <w:sz w:val="22"/>
                <w:lang w:eastAsia="en-GB"/>
              </w:rPr>
            </w:pPr>
            <w:r w:rsidRPr="00B64B0E">
              <w:rPr>
                <w:rFonts w:eastAsia="Times New Roman" w:cs="Arial"/>
                <w:b/>
                <w:bCs/>
                <w:sz w:val="22"/>
                <w:lang w:eastAsia="en-GB"/>
              </w:rPr>
              <w:t>£m</w:t>
            </w:r>
          </w:p>
        </w:tc>
        <w:tc>
          <w:tcPr>
            <w:tcW w:w="1559" w:type="dxa"/>
            <w:tcBorders>
              <w:left w:val="nil"/>
              <w:bottom w:val="single" w:color="auto" w:sz="4" w:space="0"/>
              <w:right w:val="single" w:color="auto" w:sz="4" w:space="0"/>
            </w:tcBorders>
            <w:shd w:val="clear" w:color="auto" w:fill="B4C6E7" w:themeFill="accent1" w:themeFillTint="66"/>
            <w:noWrap/>
            <w:vAlign w:val="bottom"/>
            <w:hideMark/>
          </w:tcPr>
          <w:p w:rsidRPr="00B64B0E" w:rsidR="00B64B0E" w:rsidP="00B64B0E" w:rsidRDefault="00B64B0E" w14:paraId="4D92FEA4" w14:textId="77777777">
            <w:pPr>
              <w:spacing w:after="0" w:line="240" w:lineRule="auto"/>
              <w:jc w:val="center"/>
              <w:rPr>
                <w:rFonts w:eastAsia="Times New Roman" w:cs="Arial"/>
                <w:b/>
                <w:bCs/>
                <w:sz w:val="22"/>
                <w:lang w:eastAsia="en-GB"/>
              </w:rPr>
            </w:pPr>
            <w:r w:rsidRPr="00B64B0E">
              <w:rPr>
                <w:rFonts w:eastAsia="Times New Roman" w:cs="Arial"/>
                <w:b/>
                <w:bCs/>
                <w:sz w:val="22"/>
                <w:lang w:eastAsia="en-GB"/>
              </w:rPr>
              <w:t>£m</w:t>
            </w:r>
          </w:p>
        </w:tc>
        <w:tc>
          <w:tcPr>
            <w:tcW w:w="1500" w:type="dxa"/>
            <w:tcBorders>
              <w:left w:val="nil"/>
              <w:bottom w:val="single" w:color="auto" w:sz="4" w:space="0"/>
              <w:right w:val="single" w:color="auto" w:sz="4" w:space="0"/>
            </w:tcBorders>
            <w:shd w:val="clear" w:color="auto" w:fill="B4C6E7" w:themeFill="accent1" w:themeFillTint="66"/>
            <w:noWrap/>
            <w:vAlign w:val="bottom"/>
            <w:hideMark/>
          </w:tcPr>
          <w:p w:rsidRPr="00B64B0E" w:rsidR="00B64B0E" w:rsidP="00B64B0E" w:rsidRDefault="00B64B0E" w14:paraId="1B3FBD16" w14:textId="77777777">
            <w:pPr>
              <w:spacing w:after="0" w:line="240" w:lineRule="auto"/>
              <w:jc w:val="center"/>
              <w:rPr>
                <w:rFonts w:eastAsia="Times New Roman" w:cs="Arial"/>
                <w:b/>
                <w:bCs/>
                <w:sz w:val="22"/>
                <w:lang w:eastAsia="en-GB"/>
              </w:rPr>
            </w:pPr>
            <w:r w:rsidRPr="00B64B0E">
              <w:rPr>
                <w:rFonts w:eastAsia="Times New Roman" w:cs="Arial"/>
                <w:b/>
                <w:bCs/>
                <w:sz w:val="22"/>
                <w:lang w:eastAsia="en-GB"/>
              </w:rPr>
              <w:t>£m</w:t>
            </w:r>
          </w:p>
        </w:tc>
        <w:tc>
          <w:tcPr>
            <w:tcW w:w="1417" w:type="dxa"/>
            <w:tcBorders>
              <w:left w:val="nil"/>
              <w:bottom w:val="single" w:color="auto" w:sz="4" w:space="0"/>
              <w:right w:val="single" w:color="auto" w:sz="4" w:space="0"/>
            </w:tcBorders>
            <w:shd w:val="clear" w:color="auto" w:fill="B4C6E7" w:themeFill="accent1" w:themeFillTint="66"/>
            <w:noWrap/>
            <w:vAlign w:val="bottom"/>
            <w:hideMark/>
          </w:tcPr>
          <w:p w:rsidRPr="00B64B0E" w:rsidR="00B64B0E" w:rsidP="00B64B0E" w:rsidRDefault="00B64B0E" w14:paraId="7745B0DB" w14:textId="77777777">
            <w:pPr>
              <w:spacing w:after="0" w:line="240" w:lineRule="auto"/>
              <w:jc w:val="center"/>
              <w:rPr>
                <w:rFonts w:eastAsia="Times New Roman" w:cs="Arial"/>
                <w:b/>
                <w:bCs/>
                <w:sz w:val="22"/>
                <w:lang w:eastAsia="en-GB"/>
              </w:rPr>
            </w:pPr>
            <w:r w:rsidRPr="00B64B0E">
              <w:rPr>
                <w:rFonts w:eastAsia="Times New Roman" w:cs="Arial"/>
                <w:b/>
                <w:bCs/>
                <w:sz w:val="22"/>
                <w:lang w:eastAsia="en-GB"/>
              </w:rPr>
              <w:t>£m</w:t>
            </w:r>
          </w:p>
        </w:tc>
      </w:tr>
      <w:tr w:rsidRPr="00B64B0E" w:rsidR="00B64B0E" w:rsidTr="00770AAE" w14:paraId="00BEACC0" w14:textId="77777777">
        <w:trPr>
          <w:trHeight w:val="285"/>
        </w:trPr>
        <w:tc>
          <w:tcPr>
            <w:tcW w:w="3402" w:type="dxa"/>
            <w:tcBorders>
              <w:top w:val="single" w:color="auto" w:sz="4" w:space="0"/>
              <w:left w:val="single" w:color="auto" w:sz="4" w:space="0"/>
              <w:bottom w:val="single" w:color="auto" w:sz="4" w:space="0"/>
              <w:right w:val="nil"/>
            </w:tcBorders>
            <w:shd w:val="clear" w:color="auto" w:fill="auto"/>
            <w:noWrap/>
            <w:vAlign w:val="bottom"/>
            <w:hideMark/>
          </w:tcPr>
          <w:p w:rsidRPr="00B64B0E" w:rsidR="00B64B0E" w:rsidP="00B64B0E" w:rsidRDefault="00B64B0E" w14:paraId="313CBEFF" w14:textId="77777777">
            <w:pPr>
              <w:spacing w:after="0" w:line="240" w:lineRule="auto"/>
              <w:rPr>
                <w:rFonts w:eastAsia="Times New Roman" w:cs="Arial"/>
                <w:sz w:val="22"/>
                <w:lang w:eastAsia="en-GB"/>
              </w:rPr>
            </w:pPr>
            <w:r w:rsidRPr="00B64B0E">
              <w:rPr>
                <w:rFonts w:eastAsia="Times New Roman" w:cs="Arial"/>
                <w:sz w:val="22"/>
                <w:lang w:eastAsia="en-GB"/>
              </w:rPr>
              <w:t>Fixed Term Investment</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64B0E" w:rsidR="00B64B0E" w:rsidP="00B64B0E" w:rsidRDefault="00B64B0E" w14:paraId="02781C66" w14:textId="77777777">
            <w:pPr>
              <w:spacing w:after="0" w:line="240" w:lineRule="auto"/>
              <w:jc w:val="right"/>
              <w:rPr>
                <w:rFonts w:eastAsia="Times New Roman" w:cs="Arial"/>
                <w:sz w:val="22"/>
                <w:lang w:eastAsia="en-GB"/>
              </w:rPr>
            </w:pPr>
            <w:r w:rsidRPr="00B64B0E">
              <w:rPr>
                <w:rFonts w:eastAsia="Times New Roman" w:cs="Arial"/>
                <w:color w:val="FF0000"/>
                <w:sz w:val="22"/>
                <w:lang w:eastAsia="en-GB"/>
              </w:rPr>
              <w:t xml:space="preserve">(29.000) </w:t>
            </w:r>
          </w:p>
        </w:tc>
        <w:tc>
          <w:tcPr>
            <w:tcW w:w="1559" w:type="dxa"/>
            <w:tcBorders>
              <w:top w:val="single" w:color="auto" w:sz="4" w:space="0"/>
              <w:left w:val="nil"/>
              <w:bottom w:val="single" w:color="auto" w:sz="4" w:space="0"/>
              <w:right w:val="single" w:color="auto" w:sz="4" w:space="0"/>
            </w:tcBorders>
            <w:shd w:val="clear" w:color="auto" w:fill="auto"/>
            <w:noWrap/>
            <w:vAlign w:val="bottom"/>
            <w:hideMark/>
          </w:tcPr>
          <w:p w:rsidRPr="00B64B0E" w:rsidR="00B64B0E" w:rsidP="00B64B0E" w:rsidRDefault="00B64B0E" w14:paraId="54E62DC6" w14:textId="77777777">
            <w:pPr>
              <w:spacing w:after="0" w:line="240" w:lineRule="auto"/>
              <w:jc w:val="right"/>
              <w:rPr>
                <w:rFonts w:eastAsia="Times New Roman" w:cs="Arial"/>
                <w:sz w:val="22"/>
                <w:lang w:eastAsia="en-GB"/>
              </w:rPr>
            </w:pPr>
            <w:r w:rsidRPr="00B64B0E">
              <w:rPr>
                <w:rFonts w:eastAsia="Times New Roman" w:cs="Arial"/>
                <w:color w:val="FF0000"/>
                <w:sz w:val="22"/>
                <w:lang w:eastAsia="en-GB"/>
              </w:rPr>
              <w:t xml:space="preserve">(56.000) </w:t>
            </w:r>
          </w:p>
        </w:tc>
        <w:tc>
          <w:tcPr>
            <w:tcW w:w="1500" w:type="dxa"/>
            <w:tcBorders>
              <w:top w:val="single" w:color="auto" w:sz="4" w:space="0"/>
              <w:left w:val="nil"/>
              <w:bottom w:val="single" w:color="auto" w:sz="4" w:space="0"/>
              <w:right w:val="single" w:color="auto" w:sz="4" w:space="0"/>
            </w:tcBorders>
            <w:shd w:val="clear" w:color="auto" w:fill="auto"/>
            <w:noWrap/>
            <w:vAlign w:val="bottom"/>
            <w:hideMark/>
          </w:tcPr>
          <w:p w:rsidRPr="00B64B0E" w:rsidR="00B64B0E" w:rsidP="00B64B0E" w:rsidRDefault="00B64B0E" w14:paraId="1D76F208" w14:textId="77777777">
            <w:pPr>
              <w:spacing w:after="0" w:line="240" w:lineRule="auto"/>
              <w:jc w:val="right"/>
              <w:rPr>
                <w:rFonts w:eastAsia="Times New Roman" w:cs="Arial"/>
                <w:sz w:val="22"/>
                <w:lang w:eastAsia="en-GB"/>
              </w:rPr>
            </w:pPr>
            <w:r w:rsidRPr="00B64B0E">
              <w:rPr>
                <w:rFonts w:eastAsia="Times New Roman" w:cs="Arial"/>
                <w:sz w:val="22"/>
                <w:lang w:eastAsia="en-GB"/>
              </w:rPr>
              <w:t xml:space="preserve">13.000 </w:t>
            </w:r>
          </w:p>
        </w:tc>
        <w:tc>
          <w:tcPr>
            <w:tcW w:w="1417" w:type="dxa"/>
            <w:tcBorders>
              <w:top w:val="single" w:color="auto" w:sz="4" w:space="0"/>
              <w:left w:val="nil"/>
              <w:bottom w:val="single" w:color="auto" w:sz="4" w:space="0"/>
              <w:right w:val="single" w:color="auto" w:sz="4" w:space="0"/>
            </w:tcBorders>
            <w:shd w:val="clear" w:color="auto" w:fill="auto"/>
            <w:noWrap/>
            <w:vAlign w:val="bottom"/>
            <w:hideMark/>
          </w:tcPr>
          <w:p w:rsidRPr="00B64B0E" w:rsidR="00B64B0E" w:rsidP="00B64B0E" w:rsidRDefault="00B64B0E" w14:paraId="772FD300" w14:textId="77777777">
            <w:pPr>
              <w:spacing w:after="0" w:line="240" w:lineRule="auto"/>
              <w:jc w:val="right"/>
              <w:rPr>
                <w:rFonts w:eastAsia="Times New Roman" w:cs="Arial"/>
                <w:sz w:val="22"/>
                <w:lang w:eastAsia="en-GB"/>
              </w:rPr>
            </w:pPr>
            <w:r w:rsidRPr="00B64B0E">
              <w:rPr>
                <w:rFonts w:eastAsia="Times New Roman" w:cs="Arial"/>
                <w:color w:val="FF0000"/>
                <w:sz w:val="22"/>
                <w:lang w:eastAsia="en-GB"/>
              </w:rPr>
              <w:t xml:space="preserve">(72.000) </w:t>
            </w:r>
          </w:p>
        </w:tc>
      </w:tr>
      <w:tr w:rsidRPr="00B64B0E" w:rsidR="00B64B0E" w:rsidTr="00770AAE" w14:paraId="42207679" w14:textId="77777777">
        <w:trPr>
          <w:trHeight w:val="285"/>
        </w:trPr>
        <w:tc>
          <w:tcPr>
            <w:tcW w:w="3402" w:type="dxa"/>
            <w:tcBorders>
              <w:top w:val="single" w:color="auto" w:sz="4" w:space="0"/>
              <w:left w:val="single" w:color="auto" w:sz="4" w:space="0"/>
              <w:bottom w:val="single" w:color="auto" w:sz="4" w:space="0"/>
              <w:right w:val="nil"/>
            </w:tcBorders>
            <w:shd w:val="clear" w:color="auto" w:fill="auto"/>
            <w:noWrap/>
            <w:vAlign w:val="bottom"/>
            <w:hideMark/>
          </w:tcPr>
          <w:p w:rsidRPr="00B64B0E" w:rsidR="00B64B0E" w:rsidP="00B64B0E" w:rsidRDefault="00B64B0E" w14:paraId="2DF5FE12" w14:textId="77777777">
            <w:pPr>
              <w:spacing w:after="0" w:line="240" w:lineRule="auto"/>
              <w:rPr>
                <w:rFonts w:eastAsia="Times New Roman" w:cs="Arial"/>
                <w:sz w:val="22"/>
                <w:lang w:eastAsia="en-GB"/>
              </w:rPr>
            </w:pPr>
            <w:r w:rsidRPr="00B64B0E">
              <w:rPr>
                <w:rFonts w:eastAsia="Times New Roman" w:cs="Arial"/>
                <w:sz w:val="22"/>
                <w:lang w:eastAsia="en-GB"/>
              </w:rPr>
              <w:t>Variable Term Investment</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64B0E" w:rsidR="00B64B0E" w:rsidP="00B64B0E" w:rsidRDefault="00B64B0E" w14:paraId="5120B47B" w14:textId="77777777">
            <w:pPr>
              <w:spacing w:after="0" w:line="240" w:lineRule="auto"/>
              <w:jc w:val="right"/>
              <w:rPr>
                <w:rFonts w:eastAsia="Times New Roman" w:cs="Arial"/>
                <w:sz w:val="22"/>
                <w:lang w:eastAsia="en-GB"/>
              </w:rPr>
            </w:pPr>
            <w:r w:rsidRPr="00B64B0E">
              <w:rPr>
                <w:rFonts w:eastAsia="Times New Roman" w:cs="Arial"/>
                <w:color w:val="FF0000"/>
                <w:sz w:val="22"/>
                <w:lang w:eastAsia="en-GB"/>
              </w:rPr>
              <w:t xml:space="preserve">(4.394) </w:t>
            </w:r>
          </w:p>
        </w:tc>
        <w:tc>
          <w:tcPr>
            <w:tcW w:w="1559" w:type="dxa"/>
            <w:tcBorders>
              <w:top w:val="single" w:color="auto" w:sz="4" w:space="0"/>
              <w:left w:val="nil"/>
              <w:bottom w:val="single" w:color="auto" w:sz="4" w:space="0"/>
              <w:right w:val="single" w:color="auto" w:sz="4" w:space="0"/>
            </w:tcBorders>
            <w:shd w:val="clear" w:color="auto" w:fill="auto"/>
            <w:noWrap/>
            <w:vAlign w:val="bottom"/>
            <w:hideMark/>
          </w:tcPr>
          <w:p w:rsidRPr="00B64B0E" w:rsidR="00B64B0E" w:rsidP="00B64B0E" w:rsidRDefault="00B64B0E" w14:paraId="6EB8C403" w14:textId="77777777">
            <w:pPr>
              <w:spacing w:after="0" w:line="240" w:lineRule="auto"/>
              <w:jc w:val="right"/>
              <w:rPr>
                <w:rFonts w:eastAsia="Times New Roman" w:cs="Arial"/>
                <w:sz w:val="22"/>
                <w:lang w:eastAsia="en-GB"/>
              </w:rPr>
            </w:pPr>
            <w:r w:rsidRPr="00B64B0E">
              <w:rPr>
                <w:rFonts w:eastAsia="Times New Roman" w:cs="Arial"/>
                <w:color w:val="FF0000"/>
                <w:sz w:val="22"/>
                <w:lang w:eastAsia="en-GB"/>
              </w:rPr>
              <w:t xml:space="preserve">(160.455) </w:t>
            </w:r>
          </w:p>
        </w:tc>
        <w:tc>
          <w:tcPr>
            <w:tcW w:w="1500" w:type="dxa"/>
            <w:tcBorders>
              <w:top w:val="single" w:color="auto" w:sz="4" w:space="0"/>
              <w:left w:val="nil"/>
              <w:bottom w:val="single" w:color="auto" w:sz="4" w:space="0"/>
              <w:right w:val="single" w:color="auto" w:sz="4" w:space="0"/>
            </w:tcBorders>
            <w:shd w:val="clear" w:color="auto" w:fill="auto"/>
            <w:noWrap/>
            <w:vAlign w:val="bottom"/>
            <w:hideMark/>
          </w:tcPr>
          <w:p w:rsidRPr="00B64B0E" w:rsidR="00B64B0E" w:rsidP="00B64B0E" w:rsidRDefault="00B64B0E" w14:paraId="414489D8" w14:textId="77777777">
            <w:pPr>
              <w:spacing w:after="0" w:line="240" w:lineRule="auto"/>
              <w:jc w:val="right"/>
              <w:rPr>
                <w:rFonts w:eastAsia="Times New Roman" w:cs="Arial"/>
                <w:sz w:val="22"/>
                <w:lang w:eastAsia="en-GB"/>
              </w:rPr>
            </w:pPr>
            <w:r w:rsidRPr="00B64B0E">
              <w:rPr>
                <w:rFonts w:eastAsia="Times New Roman" w:cs="Arial"/>
                <w:sz w:val="22"/>
                <w:lang w:eastAsia="en-GB"/>
              </w:rPr>
              <w:t xml:space="preserve">162.469 </w:t>
            </w:r>
          </w:p>
        </w:tc>
        <w:tc>
          <w:tcPr>
            <w:tcW w:w="1417" w:type="dxa"/>
            <w:tcBorders>
              <w:top w:val="single" w:color="auto" w:sz="4" w:space="0"/>
              <w:left w:val="nil"/>
              <w:bottom w:val="single" w:color="auto" w:sz="4" w:space="0"/>
              <w:right w:val="single" w:color="auto" w:sz="4" w:space="0"/>
            </w:tcBorders>
            <w:shd w:val="clear" w:color="auto" w:fill="auto"/>
            <w:noWrap/>
            <w:vAlign w:val="bottom"/>
            <w:hideMark/>
          </w:tcPr>
          <w:p w:rsidRPr="00B64B0E" w:rsidR="00B64B0E" w:rsidP="00B64B0E" w:rsidRDefault="00B64B0E" w14:paraId="7D690CE4" w14:textId="77777777">
            <w:pPr>
              <w:spacing w:after="0" w:line="240" w:lineRule="auto"/>
              <w:jc w:val="right"/>
              <w:rPr>
                <w:rFonts w:eastAsia="Times New Roman" w:cs="Arial"/>
                <w:sz w:val="22"/>
                <w:lang w:eastAsia="en-GB"/>
              </w:rPr>
            </w:pPr>
            <w:r w:rsidRPr="00B64B0E">
              <w:rPr>
                <w:rFonts w:eastAsia="Times New Roman" w:cs="Arial"/>
                <w:color w:val="FF0000"/>
                <w:sz w:val="22"/>
                <w:lang w:eastAsia="en-GB"/>
              </w:rPr>
              <w:t xml:space="preserve">(2.380) </w:t>
            </w:r>
          </w:p>
        </w:tc>
      </w:tr>
      <w:tr w:rsidRPr="00B64B0E" w:rsidR="00B64B0E" w:rsidTr="00672152" w14:paraId="5AA06600" w14:textId="77777777">
        <w:trPr>
          <w:trHeight w:val="300"/>
        </w:trPr>
        <w:tc>
          <w:tcPr>
            <w:tcW w:w="3402" w:type="dxa"/>
            <w:tcBorders>
              <w:top w:val="single" w:color="auto" w:sz="4" w:space="0"/>
              <w:left w:val="single" w:color="auto" w:sz="4" w:space="0"/>
              <w:bottom w:val="single" w:color="auto" w:sz="4" w:space="0"/>
              <w:right w:val="nil"/>
            </w:tcBorders>
            <w:shd w:val="clear" w:color="auto" w:fill="B4C6E7" w:themeFill="accent1" w:themeFillTint="66"/>
            <w:noWrap/>
            <w:vAlign w:val="bottom"/>
            <w:hideMark/>
          </w:tcPr>
          <w:p w:rsidRPr="00B64B0E" w:rsidR="00B64B0E" w:rsidP="00B64B0E" w:rsidRDefault="00B64B0E" w14:paraId="726DCC4E" w14:textId="77777777">
            <w:pPr>
              <w:spacing w:after="0" w:line="240" w:lineRule="auto"/>
              <w:jc w:val="right"/>
              <w:rPr>
                <w:rFonts w:eastAsia="Times New Roman" w:cs="Arial"/>
                <w:sz w:val="22"/>
                <w:lang w:eastAsia="en-GB"/>
              </w:rPr>
            </w:pPr>
          </w:p>
        </w:tc>
        <w:tc>
          <w:tcPr>
            <w:tcW w:w="1417" w:type="dxa"/>
            <w:tcBorders>
              <w:top w:val="single" w:color="auto" w:sz="4" w:space="0"/>
              <w:left w:val="single" w:color="auto" w:sz="4" w:space="0"/>
              <w:bottom w:val="single" w:color="auto" w:sz="4" w:space="0"/>
              <w:right w:val="single" w:color="auto" w:sz="4" w:space="0"/>
            </w:tcBorders>
            <w:shd w:val="clear" w:color="auto" w:fill="B4C6E7" w:themeFill="accent1" w:themeFillTint="66"/>
            <w:noWrap/>
            <w:vAlign w:val="bottom"/>
            <w:hideMark/>
          </w:tcPr>
          <w:p w:rsidRPr="00B64B0E" w:rsidR="00B64B0E" w:rsidP="00B64B0E" w:rsidRDefault="00B64B0E" w14:paraId="7943D00F" w14:textId="77777777">
            <w:pPr>
              <w:spacing w:after="0" w:line="240" w:lineRule="auto"/>
              <w:jc w:val="right"/>
              <w:rPr>
                <w:rFonts w:eastAsia="Times New Roman" w:cs="Arial"/>
                <w:b/>
                <w:bCs/>
                <w:sz w:val="22"/>
                <w:lang w:eastAsia="en-GB"/>
              </w:rPr>
            </w:pPr>
            <w:r w:rsidRPr="00B64B0E">
              <w:rPr>
                <w:rFonts w:eastAsia="Times New Roman" w:cs="Arial"/>
                <w:b/>
                <w:bCs/>
                <w:color w:val="FF0000"/>
                <w:sz w:val="22"/>
                <w:lang w:eastAsia="en-GB"/>
              </w:rPr>
              <w:t xml:space="preserve">(33.394) </w:t>
            </w:r>
          </w:p>
        </w:tc>
        <w:tc>
          <w:tcPr>
            <w:tcW w:w="1559" w:type="dxa"/>
            <w:tcBorders>
              <w:top w:val="single" w:color="auto" w:sz="4" w:space="0"/>
              <w:left w:val="nil"/>
              <w:bottom w:val="single" w:color="auto" w:sz="4" w:space="0"/>
              <w:right w:val="single" w:color="auto" w:sz="4" w:space="0"/>
            </w:tcBorders>
            <w:shd w:val="clear" w:color="auto" w:fill="B4C6E7" w:themeFill="accent1" w:themeFillTint="66"/>
            <w:noWrap/>
            <w:vAlign w:val="bottom"/>
            <w:hideMark/>
          </w:tcPr>
          <w:p w:rsidRPr="00B64B0E" w:rsidR="00B64B0E" w:rsidP="00B64B0E" w:rsidRDefault="00B64B0E" w14:paraId="3991B5E0" w14:textId="77777777">
            <w:pPr>
              <w:spacing w:after="0" w:line="240" w:lineRule="auto"/>
              <w:jc w:val="right"/>
              <w:rPr>
                <w:rFonts w:eastAsia="Times New Roman" w:cs="Arial"/>
                <w:b/>
                <w:bCs/>
                <w:sz w:val="22"/>
                <w:lang w:eastAsia="en-GB"/>
              </w:rPr>
            </w:pPr>
            <w:r w:rsidRPr="00B64B0E">
              <w:rPr>
                <w:rFonts w:eastAsia="Times New Roman" w:cs="Arial"/>
                <w:b/>
                <w:bCs/>
                <w:color w:val="FF0000"/>
                <w:sz w:val="22"/>
                <w:lang w:eastAsia="en-GB"/>
              </w:rPr>
              <w:t xml:space="preserve">(216.455) </w:t>
            </w:r>
          </w:p>
        </w:tc>
        <w:tc>
          <w:tcPr>
            <w:tcW w:w="1500" w:type="dxa"/>
            <w:tcBorders>
              <w:top w:val="single" w:color="auto" w:sz="4" w:space="0"/>
              <w:left w:val="nil"/>
              <w:bottom w:val="single" w:color="auto" w:sz="4" w:space="0"/>
              <w:right w:val="single" w:color="auto" w:sz="4" w:space="0"/>
            </w:tcBorders>
            <w:shd w:val="clear" w:color="auto" w:fill="B4C6E7" w:themeFill="accent1" w:themeFillTint="66"/>
            <w:noWrap/>
            <w:vAlign w:val="bottom"/>
            <w:hideMark/>
          </w:tcPr>
          <w:p w:rsidRPr="00B64B0E" w:rsidR="00B64B0E" w:rsidP="00B64B0E" w:rsidRDefault="00B64B0E" w14:paraId="25FB37E8" w14:textId="77777777">
            <w:pPr>
              <w:spacing w:after="0" w:line="240" w:lineRule="auto"/>
              <w:jc w:val="right"/>
              <w:rPr>
                <w:rFonts w:eastAsia="Times New Roman" w:cs="Arial"/>
                <w:b/>
                <w:bCs/>
                <w:sz w:val="22"/>
                <w:lang w:eastAsia="en-GB"/>
              </w:rPr>
            </w:pPr>
            <w:r w:rsidRPr="00B64B0E">
              <w:rPr>
                <w:rFonts w:eastAsia="Times New Roman" w:cs="Arial"/>
                <w:b/>
                <w:bCs/>
                <w:sz w:val="22"/>
                <w:lang w:eastAsia="en-GB"/>
              </w:rPr>
              <w:t xml:space="preserve">175.469 </w:t>
            </w:r>
          </w:p>
        </w:tc>
        <w:tc>
          <w:tcPr>
            <w:tcW w:w="1417" w:type="dxa"/>
            <w:tcBorders>
              <w:top w:val="single" w:color="auto" w:sz="4" w:space="0"/>
              <w:left w:val="nil"/>
              <w:bottom w:val="single" w:color="auto" w:sz="4" w:space="0"/>
              <w:right w:val="single" w:color="auto" w:sz="4" w:space="0"/>
            </w:tcBorders>
            <w:shd w:val="clear" w:color="auto" w:fill="B4C6E7" w:themeFill="accent1" w:themeFillTint="66"/>
            <w:noWrap/>
            <w:vAlign w:val="bottom"/>
            <w:hideMark/>
          </w:tcPr>
          <w:p w:rsidRPr="00B64B0E" w:rsidR="00B64B0E" w:rsidP="00B64B0E" w:rsidRDefault="00B64B0E" w14:paraId="319C777B" w14:textId="77777777">
            <w:pPr>
              <w:spacing w:after="0" w:line="240" w:lineRule="auto"/>
              <w:jc w:val="right"/>
              <w:rPr>
                <w:rFonts w:eastAsia="Times New Roman" w:cs="Arial"/>
                <w:b/>
                <w:bCs/>
                <w:sz w:val="22"/>
                <w:lang w:eastAsia="en-GB"/>
              </w:rPr>
            </w:pPr>
            <w:r w:rsidRPr="00B64B0E">
              <w:rPr>
                <w:rFonts w:eastAsia="Times New Roman" w:cs="Arial"/>
                <w:b/>
                <w:bCs/>
                <w:color w:val="FF0000"/>
                <w:sz w:val="22"/>
                <w:lang w:eastAsia="en-GB"/>
              </w:rPr>
              <w:t xml:space="preserve">(74.380) </w:t>
            </w:r>
          </w:p>
        </w:tc>
      </w:tr>
      <w:tr w:rsidRPr="00B64B0E" w:rsidR="00B64B0E" w:rsidTr="00770AAE" w14:paraId="1F0B037A" w14:textId="77777777">
        <w:trPr>
          <w:trHeight w:val="285"/>
        </w:trPr>
        <w:tc>
          <w:tcPr>
            <w:tcW w:w="3402" w:type="dxa"/>
            <w:tcBorders>
              <w:top w:val="single" w:color="auto" w:sz="4" w:space="0"/>
              <w:left w:val="nil"/>
              <w:bottom w:val="nil"/>
              <w:right w:val="nil"/>
            </w:tcBorders>
            <w:shd w:val="clear" w:color="auto" w:fill="auto"/>
            <w:noWrap/>
            <w:vAlign w:val="bottom"/>
            <w:hideMark/>
          </w:tcPr>
          <w:p w:rsidRPr="00B64B0E" w:rsidR="00B64B0E" w:rsidP="00B64B0E" w:rsidRDefault="00B64B0E" w14:paraId="5675F04E" w14:textId="77777777">
            <w:pPr>
              <w:spacing w:after="0" w:line="240" w:lineRule="auto"/>
              <w:jc w:val="right"/>
              <w:rPr>
                <w:rFonts w:eastAsia="Times New Roman" w:cs="Arial"/>
                <w:b/>
                <w:bCs/>
                <w:sz w:val="22"/>
                <w:lang w:eastAsia="en-GB"/>
              </w:rPr>
            </w:pPr>
          </w:p>
        </w:tc>
        <w:tc>
          <w:tcPr>
            <w:tcW w:w="1417" w:type="dxa"/>
            <w:tcBorders>
              <w:top w:val="nil"/>
              <w:left w:val="nil"/>
              <w:bottom w:val="nil"/>
              <w:right w:val="nil"/>
            </w:tcBorders>
            <w:shd w:val="clear" w:color="auto" w:fill="auto"/>
            <w:noWrap/>
            <w:vAlign w:val="bottom"/>
            <w:hideMark/>
          </w:tcPr>
          <w:p w:rsidRPr="00B64B0E" w:rsidR="00B64B0E" w:rsidP="00B64B0E" w:rsidRDefault="00B64B0E" w14:paraId="0590C62B" w14:textId="77777777">
            <w:pPr>
              <w:spacing w:after="0" w:line="240" w:lineRule="auto"/>
              <w:rPr>
                <w:rFonts w:ascii="Times New Roman" w:hAnsi="Times New Roman" w:eastAsia="Times New Roman"/>
                <w:sz w:val="20"/>
                <w:szCs w:val="20"/>
                <w:lang w:eastAsia="en-GB"/>
              </w:rPr>
            </w:pPr>
          </w:p>
        </w:tc>
        <w:tc>
          <w:tcPr>
            <w:tcW w:w="1559" w:type="dxa"/>
            <w:tcBorders>
              <w:top w:val="nil"/>
              <w:left w:val="nil"/>
              <w:bottom w:val="nil"/>
              <w:right w:val="nil"/>
            </w:tcBorders>
            <w:shd w:val="clear" w:color="auto" w:fill="auto"/>
            <w:noWrap/>
            <w:vAlign w:val="bottom"/>
            <w:hideMark/>
          </w:tcPr>
          <w:p w:rsidRPr="00B64B0E" w:rsidR="00B64B0E" w:rsidP="00B64B0E" w:rsidRDefault="00B64B0E" w14:paraId="1E0F0D54" w14:textId="77777777">
            <w:pPr>
              <w:spacing w:after="0" w:line="240" w:lineRule="auto"/>
              <w:rPr>
                <w:rFonts w:ascii="Times New Roman" w:hAnsi="Times New Roman" w:eastAsia="Times New Roman"/>
                <w:sz w:val="20"/>
                <w:szCs w:val="20"/>
                <w:lang w:eastAsia="en-GB"/>
              </w:rPr>
            </w:pPr>
          </w:p>
        </w:tc>
        <w:tc>
          <w:tcPr>
            <w:tcW w:w="1500" w:type="dxa"/>
            <w:tcBorders>
              <w:top w:val="nil"/>
              <w:left w:val="nil"/>
              <w:bottom w:val="nil"/>
              <w:right w:val="nil"/>
            </w:tcBorders>
            <w:shd w:val="clear" w:color="auto" w:fill="auto"/>
            <w:noWrap/>
            <w:vAlign w:val="bottom"/>
            <w:hideMark/>
          </w:tcPr>
          <w:p w:rsidRPr="00B64B0E" w:rsidR="00B64B0E" w:rsidP="00B64B0E" w:rsidRDefault="00B64B0E" w14:paraId="427F21B6" w14:textId="77777777">
            <w:pPr>
              <w:spacing w:after="0" w:line="240" w:lineRule="auto"/>
              <w:rPr>
                <w:rFonts w:ascii="Times New Roman" w:hAnsi="Times New Roman" w:eastAsia="Times New Roman"/>
                <w:sz w:val="20"/>
                <w:szCs w:val="20"/>
                <w:lang w:eastAsia="en-GB"/>
              </w:rPr>
            </w:pPr>
          </w:p>
        </w:tc>
        <w:tc>
          <w:tcPr>
            <w:tcW w:w="1417" w:type="dxa"/>
            <w:tcBorders>
              <w:top w:val="nil"/>
              <w:left w:val="nil"/>
              <w:bottom w:val="nil"/>
              <w:right w:val="nil"/>
            </w:tcBorders>
            <w:shd w:val="clear" w:color="auto" w:fill="auto"/>
            <w:noWrap/>
            <w:vAlign w:val="bottom"/>
            <w:hideMark/>
          </w:tcPr>
          <w:p w:rsidRPr="00B64B0E" w:rsidR="00B64B0E" w:rsidP="00B64B0E" w:rsidRDefault="00B64B0E" w14:paraId="223D26EC" w14:textId="77777777">
            <w:pPr>
              <w:spacing w:after="0" w:line="240" w:lineRule="auto"/>
              <w:rPr>
                <w:rFonts w:ascii="Times New Roman" w:hAnsi="Times New Roman" w:eastAsia="Times New Roman"/>
                <w:sz w:val="20"/>
                <w:szCs w:val="20"/>
                <w:lang w:eastAsia="en-GB"/>
              </w:rPr>
            </w:pPr>
          </w:p>
        </w:tc>
      </w:tr>
      <w:tr w:rsidRPr="00B64B0E" w:rsidR="00B64B0E" w:rsidTr="00770AAE" w14:paraId="6462C0B6" w14:textId="77777777">
        <w:trPr>
          <w:trHeight w:val="285"/>
        </w:trPr>
        <w:tc>
          <w:tcPr>
            <w:tcW w:w="4819" w:type="dxa"/>
            <w:gridSpan w:val="2"/>
            <w:tcBorders>
              <w:top w:val="nil"/>
              <w:left w:val="nil"/>
              <w:bottom w:val="nil"/>
              <w:right w:val="nil"/>
            </w:tcBorders>
            <w:shd w:val="clear" w:color="auto" w:fill="auto"/>
            <w:noWrap/>
            <w:vAlign w:val="bottom"/>
            <w:hideMark/>
          </w:tcPr>
          <w:p w:rsidRPr="00B64B0E" w:rsidR="00B64B0E" w:rsidP="00B64B0E" w:rsidRDefault="00B64B0E" w14:paraId="04912DB3" w14:textId="77777777">
            <w:pPr>
              <w:spacing w:after="0" w:line="240" w:lineRule="auto"/>
              <w:rPr>
                <w:rFonts w:eastAsia="Times New Roman" w:cs="Arial"/>
                <w:sz w:val="22"/>
                <w:lang w:eastAsia="en-GB"/>
              </w:rPr>
            </w:pPr>
            <w:r w:rsidRPr="00B64B0E">
              <w:rPr>
                <w:rFonts w:eastAsia="Times New Roman" w:cs="Arial"/>
                <w:sz w:val="22"/>
                <w:lang w:eastAsia="en-GB"/>
              </w:rPr>
              <w:t>Proportion of Fixed Term Investment held</w:t>
            </w:r>
          </w:p>
        </w:tc>
        <w:tc>
          <w:tcPr>
            <w:tcW w:w="1559" w:type="dxa"/>
            <w:tcBorders>
              <w:top w:val="nil"/>
              <w:left w:val="nil"/>
              <w:bottom w:val="nil"/>
              <w:right w:val="nil"/>
            </w:tcBorders>
            <w:shd w:val="clear" w:color="auto" w:fill="auto"/>
            <w:noWrap/>
            <w:vAlign w:val="bottom"/>
            <w:hideMark/>
          </w:tcPr>
          <w:p w:rsidRPr="00B64B0E" w:rsidR="00B64B0E" w:rsidP="00B64B0E" w:rsidRDefault="00B64B0E" w14:paraId="5092DF5A" w14:textId="77777777">
            <w:pPr>
              <w:spacing w:after="0" w:line="240" w:lineRule="auto"/>
              <w:rPr>
                <w:rFonts w:eastAsia="Times New Roman" w:cs="Arial"/>
                <w:sz w:val="22"/>
                <w:lang w:eastAsia="en-GB"/>
              </w:rPr>
            </w:pPr>
          </w:p>
        </w:tc>
        <w:tc>
          <w:tcPr>
            <w:tcW w:w="1500" w:type="dxa"/>
            <w:tcBorders>
              <w:top w:val="nil"/>
              <w:left w:val="nil"/>
              <w:bottom w:val="nil"/>
              <w:right w:val="nil"/>
            </w:tcBorders>
            <w:shd w:val="clear" w:color="auto" w:fill="auto"/>
            <w:noWrap/>
            <w:vAlign w:val="bottom"/>
            <w:hideMark/>
          </w:tcPr>
          <w:p w:rsidRPr="00B64B0E" w:rsidR="00B64B0E" w:rsidP="00B64B0E" w:rsidRDefault="00B64B0E" w14:paraId="2D8F69CC" w14:textId="77777777">
            <w:pPr>
              <w:spacing w:after="0" w:line="240" w:lineRule="auto"/>
              <w:rPr>
                <w:rFonts w:ascii="Times New Roman" w:hAnsi="Times New Roman" w:eastAsia="Times New Roman"/>
                <w:sz w:val="20"/>
                <w:szCs w:val="20"/>
                <w:lang w:eastAsia="en-GB"/>
              </w:rPr>
            </w:pPr>
          </w:p>
        </w:tc>
        <w:tc>
          <w:tcPr>
            <w:tcW w:w="1417" w:type="dxa"/>
            <w:tcBorders>
              <w:top w:val="nil"/>
              <w:left w:val="nil"/>
              <w:bottom w:val="nil"/>
              <w:right w:val="nil"/>
            </w:tcBorders>
            <w:shd w:val="clear" w:color="auto" w:fill="auto"/>
            <w:noWrap/>
            <w:vAlign w:val="bottom"/>
            <w:hideMark/>
          </w:tcPr>
          <w:p w:rsidRPr="00B64B0E" w:rsidR="00B64B0E" w:rsidP="00B64B0E" w:rsidRDefault="00B64B0E" w14:paraId="71DA7260" w14:textId="77777777">
            <w:pPr>
              <w:spacing w:after="0" w:line="240" w:lineRule="auto"/>
              <w:jc w:val="right"/>
              <w:rPr>
                <w:rFonts w:eastAsia="Times New Roman" w:cs="Arial"/>
                <w:sz w:val="22"/>
                <w:lang w:eastAsia="en-GB"/>
              </w:rPr>
            </w:pPr>
            <w:r w:rsidRPr="00B64B0E">
              <w:rPr>
                <w:rFonts w:eastAsia="Times New Roman" w:cs="Arial"/>
                <w:sz w:val="22"/>
                <w:lang w:eastAsia="en-GB"/>
              </w:rPr>
              <w:t>96.80%</w:t>
            </w:r>
          </w:p>
        </w:tc>
      </w:tr>
      <w:tr w:rsidRPr="00B64B0E" w:rsidR="00B64B0E" w:rsidTr="00770AAE" w14:paraId="3661EF91" w14:textId="77777777">
        <w:trPr>
          <w:trHeight w:val="285"/>
        </w:trPr>
        <w:tc>
          <w:tcPr>
            <w:tcW w:w="4819" w:type="dxa"/>
            <w:gridSpan w:val="2"/>
            <w:tcBorders>
              <w:top w:val="nil"/>
              <w:left w:val="nil"/>
              <w:bottom w:val="nil"/>
              <w:right w:val="nil"/>
            </w:tcBorders>
            <w:shd w:val="clear" w:color="auto" w:fill="auto"/>
            <w:noWrap/>
            <w:vAlign w:val="bottom"/>
            <w:hideMark/>
          </w:tcPr>
          <w:p w:rsidRPr="00B64B0E" w:rsidR="00B64B0E" w:rsidP="00B64B0E" w:rsidRDefault="00B64B0E" w14:paraId="3B87FF6D" w14:textId="77777777">
            <w:pPr>
              <w:spacing w:after="0" w:line="240" w:lineRule="auto"/>
              <w:rPr>
                <w:rFonts w:eastAsia="Times New Roman" w:cs="Arial"/>
                <w:sz w:val="22"/>
                <w:lang w:eastAsia="en-GB"/>
              </w:rPr>
            </w:pPr>
            <w:r w:rsidRPr="00B64B0E">
              <w:rPr>
                <w:rFonts w:eastAsia="Times New Roman" w:cs="Arial"/>
                <w:sz w:val="22"/>
                <w:lang w:eastAsia="en-GB"/>
              </w:rPr>
              <w:t>Proportion of Variable Term Investment held</w:t>
            </w:r>
          </w:p>
        </w:tc>
        <w:tc>
          <w:tcPr>
            <w:tcW w:w="1559" w:type="dxa"/>
            <w:tcBorders>
              <w:top w:val="nil"/>
              <w:left w:val="nil"/>
              <w:bottom w:val="nil"/>
              <w:right w:val="nil"/>
            </w:tcBorders>
            <w:shd w:val="clear" w:color="auto" w:fill="auto"/>
            <w:noWrap/>
            <w:vAlign w:val="bottom"/>
            <w:hideMark/>
          </w:tcPr>
          <w:p w:rsidRPr="00B64B0E" w:rsidR="00B64B0E" w:rsidP="00B64B0E" w:rsidRDefault="00B64B0E" w14:paraId="6B5ED55B" w14:textId="77777777">
            <w:pPr>
              <w:spacing w:after="0" w:line="240" w:lineRule="auto"/>
              <w:rPr>
                <w:rFonts w:eastAsia="Times New Roman" w:cs="Arial"/>
                <w:sz w:val="22"/>
                <w:lang w:eastAsia="en-GB"/>
              </w:rPr>
            </w:pPr>
          </w:p>
        </w:tc>
        <w:tc>
          <w:tcPr>
            <w:tcW w:w="1500" w:type="dxa"/>
            <w:tcBorders>
              <w:top w:val="nil"/>
              <w:left w:val="nil"/>
              <w:bottom w:val="nil"/>
              <w:right w:val="nil"/>
            </w:tcBorders>
            <w:shd w:val="clear" w:color="auto" w:fill="auto"/>
            <w:noWrap/>
            <w:vAlign w:val="bottom"/>
            <w:hideMark/>
          </w:tcPr>
          <w:p w:rsidRPr="00B64B0E" w:rsidR="00B64B0E" w:rsidP="00B64B0E" w:rsidRDefault="00B64B0E" w14:paraId="302BFF51" w14:textId="77777777">
            <w:pPr>
              <w:spacing w:after="0" w:line="240" w:lineRule="auto"/>
              <w:rPr>
                <w:rFonts w:ascii="Times New Roman" w:hAnsi="Times New Roman" w:eastAsia="Times New Roman"/>
                <w:sz w:val="20"/>
                <w:szCs w:val="20"/>
                <w:lang w:eastAsia="en-GB"/>
              </w:rPr>
            </w:pPr>
          </w:p>
        </w:tc>
        <w:tc>
          <w:tcPr>
            <w:tcW w:w="1417" w:type="dxa"/>
            <w:tcBorders>
              <w:top w:val="nil"/>
              <w:left w:val="nil"/>
              <w:bottom w:val="nil"/>
              <w:right w:val="nil"/>
            </w:tcBorders>
            <w:shd w:val="clear" w:color="auto" w:fill="auto"/>
            <w:noWrap/>
            <w:vAlign w:val="bottom"/>
            <w:hideMark/>
          </w:tcPr>
          <w:p w:rsidRPr="00B64B0E" w:rsidR="00B64B0E" w:rsidP="00B64B0E" w:rsidRDefault="00B64B0E" w14:paraId="22EE98A0" w14:textId="77777777">
            <w:pPr>
              <w:spacing w:after="0" w:line="240" w:lineRule="auto"/>
              <w:jc w:val="right"/>
              <w:rPr>
                <w:rFonts w:eastAsia="Times New Roman" w:cs="Arial"/>
                <w:sz w:val="22"/>
                <w:lang w:eastAsia="en-GB"/>
              </w:rPr>
            </w:pPr>
            <w:r w:rsidRPr="00B64B0E">
              <w:rPr>
                <w:rFonts w:eastAsia="Times New Roman" w:cs="Arial"/>
                <w:sz w:val="22"/>
                <w:lang w:eastAsia="en-GB"/>
              </w:rPr>
              <w:t>3.20%</w:t>
            </w:r>
          </w:p>
        </w:tc>
      </w:tr>
      <w:bookmarkEnd w:id="1"/>
      <w:bookmarkEnd w:id="2"/>
      <w:bookmarkEnd w:id="3"/>
      <w:bookmarkEnd w:id="4"/>
    </w:tbl>
    <w:p w:rsidR="007F6823" w:rsidP="007F6823" w:rsidRDefault="007F6823" w14:paraId="6733B3CA" w14:textId="77777777">
      <w:pPr>
        <w:spacing w:after="0" w:line="240" w:lineRule="auto"/>
        <w:ind w:left="425"/>
        <w:jc w:val="both"/>
        <w:rPr>
          <w:rFonts w:cs="Arial"/>
          <w:szCs w:val="24"/>
        </w:rPr>
      </w:pPr>
    </w:p>
    <w:p w:rsidR="008C1401" w:rsidP="008C1401" w:rsidRDefault="00CD3F0C" w14:paraId="2A8959BB" w14:textId="52176969">
      <w:pPr>
        <w:spacing w:line="264" w:lineRule="auto"/>
        <w:ind w:left="426"/>
        <w:jc w:val="both"/>
        <w:rPr>
          <w:rFonts w:cs="Arial"/>
          <w:szCs w:val="24"/>
        </w:rPr>
      </w:pPr>
      <w:r>
        <w:rPr>
          <w:rFonts w:cs="Arial"/>
          <w:szCs w:val="24"/>
        </w:rPr>
        <w:t xml:space="preserve">One of the </w:t>
      </w:r>
      <w:r w:rsidRPr="00AD3BF8">
        <w:rPr>
          <w:rFonts w:cs="Arial"/>
          <w:szCs w:val="24"/>
        </w:rPr>
        <w:t>investment type</w:t>
      </w:r>
      <w:r>
        <w:rPr>
          <w:rFonts w:cs="Arial"/>
          <w:szCs w:val="24"/>
        </w:rPr>
        <w:t>s</w:t>
      </w:r>
      <w:r w:rsidRPr="00AD3BF8">
        <w:rPr>
          <w:rFonts w:cs="Arial"/>
          <w:szCs w:val="24"/>
        </w:rPr>
        <w:t xml:space="preserve"> employed by the Commissioner is </w:t>
      </w:r>
      <w:r>
        <w:rPr>
          <w:rFonts w:cs="Arial"/>
          <w:szCs w:val="24"/>
        </w:rPr>
        <w:t>Low Volatility Net Asset Value Funds (LVNAV).</w:t>
      </w:r>
      <w:r w:rsidRPr="00AD3BF8">
        <w:rPr>
          <w:rFonts w:cs="Arial"/>
          <w:szCs w:val="24"/>
        </w:rPr>
        <w:t xml:space="preserve"> These are used because they are highly </w:t>
      </w:r>
      <w:r w:rsidRPr="0058617F">
        <w:rPr>
          <w:rFonts w:cs="Arial"/>
          <w:szCs w:val="24"/>
        </w:rPr>
        <w:t>rated (AAA),</w:t>
      </w:r>
      <w:r w:rsidRPr="00AD3BF8">
        <w:rPr>
          <w:rFonts w:cs="Arial"/>
          <w:szCs w:val="24"/>
        </w:rPr>
        <w:t xml:space="preserve"> and they work by spreading the investments over a wide range of high quality counterparties that would be unavailable at the levels of investment monies available. This approach also helps to eliminate risk whilst maintaining liquidity.</w:t>
      </w:r>
    </w:p>
    <w:p w:rsidRPr="00AD3BF8" w:rsidR="00CD3F0C" w:rsidP="008C1401" w:rsidRDefault="00CD3F0C" w14:paraId="28853824" w14:textId="5CCEDA8D">
      <w:pPr>
        <w:spacing w:line="264" w:lineRule="auto"/>
        <w:ind w:left="426"/>
        <w:jc w:val="both"/>
        <w:rPr>
          <w:szCs w:val="24"/>
        </w:rPr>
      </w:pPr>
      <w:r w:rsidRPr="00AD3BF8">
        <w:rPr>
          <w:rFonts w:cs="Arial"/>
          <w:szCs w:val="24"/>
        </w:rPr>
        <w:t>They also have the advantage of being easy to manage via an online platform and are liquid to meet cash flow demand</w:t>
      </w:r>
      <w:r w:rsidRPr="0058617F">
        <w:rPr>
          <w:rFonts w:cs="Arial"/>
          <w:szCs w:val="24"/>
        </w:rPr>
        <w:t>s. Currently 3 are being utilised and at certain times of the year the deposit capacity has been insufficient at a time when alternative institutions of sufficient calibre are reducing or have very low interest rates</w:t>
      </w:r>
      <w:r w:rsidR="008C1401">
        <w:rPr>
          <w:rFonts w:cs="Arial"/>
          <w:szCs w:val="24"/>
        </w:rPr>
        <w:t>, a 4</w:t>
      </w:r>
      <w:r w:rsidRPr="008C1401" w:rsidR="008C1401">
        <w:rPr>
          <w:rFonts w:cs="Arial"/>
          <w:szCs w:val="24"/>
          <w:vertAlign w:val="superscript"/>
        </w:rPr>
        <w:t>th</w:t>
      </w:r>
      <w:r w:rsidR="008C1401">
        <w:rPr>
          <w:rFonts w:cs="Arial"/>
          <w:szCs w:val="24"/>
        </w:rPr>
        <w:t xml:space="preserve"> Counterparty is therefore in the process of being used, and the revised Treasury Strategy includes higher deposit amounts</w:t>
      </w:r>
      <w:r w:rsidRPr="0058617F">
        <w:rPr>
          <w:rFonts w:cs="Arial"/>
          <w:szCs w:val="24"/>
        </w:rPr>
        <w:t>.</w:t>
      </w:r>
      <w:r>
        <w:rPr>
          <w:rFonts w:cs="Arial"/>
          <w:szCs w:val="24"/>
        </w:rPr>
        <w:t xml:space="preserve"> Fixed term investments tend to be with other local authorities which are also considered to be low risk.</w:t>
      </w:r>
      <w:r w:rsidRPr="0058617F">
        <w:rPr>
          <w:rFonts w:cs="Arial"/>
          <w:szCs w:val="24"/>
        </w:rPr>
        <w:t xml:space="preserve"> </w:t>
      </w:r>
      <w:r>
        <w:rPr>
          <w:szCs w:val="24"/>
        </w:rPr>
        <w:t>T</w:t>
      </w:r>
      <w:r w:rsidRPr="00AD3BF8">
        <w:rPr>
          <w:szCs w:val="24"/>
        </w:rPr>
        <w:t xml:space="preserve">he interest rate on current account balances with Barclays </w:t>
      </w:r>
      <w:r>
        <w:rPr>
          <w:szCs w:val="24"/>
        </w:rPr>
        <w:t>is zero</w:t>
      </w:r>
      <w:r w:rsidRPr="00AD3BF8">
        <w:rPr>
          <w:szCs w:val="24"/>
        </w:rPr>
        <w:t>. </w:t>
      </w:r>
    </w:p>
    <w:p w:rsidRPr="00AD3BF8" w:rsidR="00CD3F0C" w:rsidP="003B36A4" w:rsidRDefault="00CD3F0C" w14:paraId="1518B389" w14:textId="347434DE">
      <w:pPr>
        <w:spacing w:line="264" w:lineRule="auto"/>
        <w:ind w:left="426"/>
        <w:jc w:val="both"/>
      </w:pPr>
      <w:r>
        <w:rPr>
          <w:szCs w:val="24"/>
        </w:rPr>
        <w:lastRenderedPageBreak/>
        <w:t>The</w:t>
      </w:r>
      <w:r w:rsidRPr="00AD3BF8">
        <w:rPr>
          <w:szCs w:val="24"/>
        </w:rPr>
        <w:t xml:space="preserve"> limits in the inves</w:t>
      </w:r>
      <w:r>
        <w:rPr>
          <w:szCs w:val="24"/>
        </w:rPr>
        <w:t>tment policy for LVNAVs are for £12</w:t>
      </w:r>
      <w:r w:rsidRPr="00AD3BF8">
        <w:rPr>
          <w:szCs w:val="24"/>
        </w:rPr>
        <w:t xml:space="preserve">m, </w:t>
      </w:r>
      <w:r>
        <w:rPr>
          <w:szCs w:val="24"/>
        </w:rPr>
        <w:t>and £</w:t>
      </w:r>
      <w:r w:rsidRPr="00AD3BF8">
        <w:rPr>
          <w:szCs w:val="24"/>
        </w:rPr>
        <w:t xml:space="preserve">15m with the consent of the </w:t>
      </w:r>
      <w:r w:rsidR="00672152">
        <w:rPr>
          <w:szCs w:val="24"/>
        </w:rPr>
        <w:t xml:space="preserve">Chief Constables </w:t>
      </w:r>
      <w:r w:rsidRPr="00AD3BF8">
        <w:rPr>
          <w:szCs w:val="24"/>
        </w:rPr>
        <w:t xml:space="preserve">CFO. On </w:t>
      </w:r>
      <w:r w:rsidR="008C1401">
        <w:rPr>
          <w:szCs w:val="24"/>
        </w:rPr>
        <w:t>an increasing number of</w:t>
      </w:r>
      <w:r w:rsidRPr="00AD3BF8">
        <w:rPr>
          <w:szCs w:val="24"/>
        </w:rPr>
        <w:t xml:space="preserve"> </w:t>
      </w:r>
      <w:r w:rsidRPr="00AD3BF8" w:rsidR="0052788D">
        <w:rPr>
          <w:szCs w:val="24"/>
        </w:rPr>
        <w:t>occasions,</w:t>
      </w:r>
      <w:r w:rsidRPr="00AD3BF8">
        <w:rPr>
          <w:szCs w:val="24"/>
        </w:rPr>
        <w:t xml:space="preserve"> the </w:t>
      </w:r>
      <w:r w:rsidR="00672152">
        <w:rPr>
          <w:szCs w:val="24"/>
        </w:rPr>
        <w:t xml:space="preserve">Chief Constables </w:t>
      </w:r>
      <w:r w:rsidRPr="00AD3BF8">
        <w:rPr>
          <w:szCs w:val="24"/>
        </w:rPr>
        <w:t>CFO has agreed to temporarily increase this limit</w:t>
      </w:r>
      <w:r w:rsidR="008C1401">
        <w:rPr>
          <w:szCs w:val="24"/>
        </w:rPr>
        <w:t xml:space="preserve"> to the </w:t>
      </w:r>
      <w:r w:rsidR="0052788D">
        <w:rPr>
          <w:szCs w:val="24"/>
        </w:rPr>
        <w:t>£</w:t>
      </w:r>
      <w:r w:rsidR="008C1401">
        <w:rPr>
          <w:szCs w:val="24"/>
        </w:rPr>
        <w:t>15m maximum</w:t>
      </w:r>
      <w:r w:rsidRPr="00AD3BF8">
        <w:rPr>
          <w:szCs w:val="24"/>
        </w:rPr>
        <w:t>. In the first half year when cash surpluses are at their highest t</w:t>
      </w:r>
      <w:r>
        <w:rPr>
          <w:szCs w:val="24"/>
        </w:rPr>
        <w:t xml:space="preserve">here has been </w:t>
      </w:r>
      <w:r w:rsidR="0052788D">
        <w:rPr>
          <w:szCs w:val="24"/>
        </w:rPr>
        <w:t>1</w:t>
      </w:r>
      <w:r w:rsidR="00D36FD2">
        <w:rPr>
          <w:szCs w:val="24"/>
        </w:rPr>
        <w:t>7</w:t>
      </w:r>
      <w:r w:rsidRPr="00442BBE">
        <w:rPr>
          <w:szCs w:val="24"/>
        </w:rPr>
        <w:t xml:space="preserve"> days</w:t>
      </w:r>
      <w:r>
        <w:rPr>
          <w:szCs w:val="24"/>
        </w:rPr>
        <w:t xml:space="preserve"> when an LVNAV fund balance has been over £12</w:t>
      </w:r>
      <w:r w:rsidRPr="00AD3BF8">
        <w:rPr>
          <w:szCs w:val="24"/>
        </w:rPr>
        <w:t>m an</w:t>
      </w:r>
      <w:r>
        <w:rPr>
          <w:szCs w:val="24"/>
        </w:rPr>
        <w:t xml:space="preserve">d up to £15m. </w:t>
      </w:r>
    </w:p>
    <w:p w:rsidRPr="00AD3BF8" w:rsidR="00CD3F0C" w:rsidP="00CD3F0C" w:rsidRDefault="00CD3F0C" w14:paraId="6FAC3FFF" w14:textId="77777777">
      <w:pPr>
        <w:spacing w:line="264" w:lineRule="auto"/>
        <w:ind w:left="426"/>
        <w:jc w:val="both"/>
      </w:pPr>
      <w:r w:rsidRPr="003820E1">
        <w:rPr>
          <w:szCs w:val="24"/>
        </w:rPr>
        <w:t>No other approved limits have been exceeded.</w:t>
      </w:r>
    </w:p>
    <w:p w:rsidRPr="003B36A4" w:rsidR="00CD3F0C" w:rsidP="00CD3F0C" w:rsidRDefault="003B36A4" w14:paraId="6CBDAA9E" w14:textId="63153357">
      <w:pPr>
        <w:spacing w:before="240" w:after="120" w:line="271" w:lineRule="auto"/>
        <w:ind w:left="426" w:hanging="710"/>
        <w:jc w:val="both"/>
        <w:rPr>
          <w:rFonts w:cs="Arial"/>
          <w:b/>
          <w:bCs/>
          <w:szCs w:val="24"/>
        </w:rPr>
      </w:pPr>
      <w:r w:rsidRPr="003B36A4">
        <w:rPr>
          <w:rFonts w:cs="Arial"/>
          <w:b/>
          <w:bCs/>
          <w:szCs w:val="24"/>
        </w:rPr>
        <w:t>6</w:t>
      </w:r>
      <w:r w:rsidRPr="003B36A4" w:rsidR="00CD3F0C">
        <w:rPr>
          <w:rFonts w:cs="Arial"/>
          <w:b/>
          <w:bCs/>
          <w:szCs w:val="24"/>
        </w:rPr>
        <w:t>.</w:t>
      </w:r>
      <w:r w:rsidRPr="003B36A4">
        <w:rPr>
          <w:rFonts w:cs="Arial"/>
          <w:b/>
          <w:bCs/>
          <w:szCs w:val="24"/>
        </w:rPr>
        <w:t>2</w:t>
      </w:r>
      <w:r w:rsidRPr="003B36A4" w:rsidR="00CD3F0C">
        <w:rPr>
          <w:rFonts w:cs="Arial"/>
          <w:b/>
          <w:bCs/>
          <w:szCs w:val="24"/>
        </w:rPr>
        <w:tab/>
        <w:t>Investment Counterparty criteria</w:t>
      </w:r>
    </w:p>
    <w:p w:rsidRPr="00AD3BF8" w:rsidR="00CD3F0C" w:rsidP="00CD3F0C" w:rsidRDefault="00CD3F0C" w14:paraId="434758BF" w14:textId="0A17AB75">
      <w:pPr>
        <w:spacing w:line="271" w:lineRule="auto"/>
        <w:ind w:left="426"/>
        <w:jc w:val="both"/>
        <w:rPr>
          <w:rFonts w:eastAsia="Bliss 2 Regular" w:cs="Arial"/>
          <w:szCs w:val="24"/>
        </w:rPr>
      </w:pPr>
      <w:r w:rsidRPr="00AD3BF8">
        <w:rPr>
          <w:rFonts w:eastAsia="Bliss 2 Regular" w:cs="Arial"/>
          <w:szCs w:val="24"/>
        </w:rPr>
        <w:t xml:space="preserve">The Commissioner’s investment policy has regard to </w:t>
      </w:r>
      <w:r w:rsidR="005040D6">
        <w:rPr>
          <w:rFonts w:eastAsia="Bliss 2 Regular" w:cs="Arial"/>
          <w:szCs w:val="24"/>
        </w:rPr>
        <w:t>Department for Levelling Up, Housing and Communities (DLUHC)</w:t>
      </w:r>
      <w:r w:rsidRPr="00AD3BF8">
        <w:rPr>
          <w:rFonts w:eastAsia="Bliss 2 Regular" w:cs="Arial"/>
          <w:szCs w:val="24"/>
        </w:rPr>
        <w:t xml:space="preserve"> and the revised CIPFA Treasury Management in Public Services Code of Practice and Cross Sector Guidance Notes (“the CIPFA TM Code”). The continuing potential for a re-emergence of a Eurozone sovereign debt crisis together with other risks which could impact on the creditworthiness of banks, prompts a low</w:t>
      </w:r>
      <w:r w:rsidR="0052788D">
        <w:rPr>
          <w:rFonts w:eastAsia="Bliss 2 Regular" w:cs="Arial"/>
          <w:szCs w:val="24"/>
        </w:rPr>
        <w:t>-</w:t>
      </w:r>
      <w:r w:rsidRPr="00AD3BF8">
        <w:rPr>
          <w:rFonts w:eastAsia="Bliss 2 Regular" w:cs="Arial"/>
          <w:szCs w:val="24"/>
        </w:rPr>
        <w:t>risk strategy.</w:t>
      </w:r>
      <w:r>
        <w:rPr>
          <w:rFonts w:eastAsia="Bliss 2 Regular" w:cs="Arial"/>
          <w:szCs w:val="24"/>
        </w:rPr>
        <w:t xml:space="preserve"> </w:t>
      </w:r>
      <w:r w:rsidRPr="00AD3BF8">
        <w:rPr>
          <w:rFonts w:eastAsia="Bliss 2 Regular" w:cs="Arial"/>
          <w:szCs w:val="24"/>
        </w:rPr>
        <w:t>Therefore</w:t>
      </w:r>
      <w:r w:rsidR="0052788D">
        <w:rPr>
          <w:rFonts w:eastAsia="Bliss 2 Regular" w:cs="Arial"/>
          <w:szCs w:val="24"/>
        </w:rPr>
        <w:t xml:space="preserve">, </w:t>
      </w:r>
      <w:r w:rsidRPr="00AD3BF8">
        <w:rPr>
          <w:rFonts w:eastAsia="Bliss 2 Regular" w:cs="Arial"/>
          <w:szCs w:val="24"/>
        </w:rPr>
        <w:t>the Commissioner’s investment priorities in order of importance will be security, liquidity and return.</w:t>
      </w:r>
    </w:p>
    <w:p w:rsidR="00CD3F0C" w:rsidP="003B36A4" w:rsidRDefault="00CD3F0C" w14:paraId="5C8B56D9" w14:textId="6D3BA39D">
      <w:pPr>
        <w:tabs>
          <w:tab w:val="num" w:pos="0"/>
        </w:tabs>
        <w:spacing w:before="60" w:after="60" w:line="271" w:lineRule="auto"/>
        <w:ind w:left="426"/>
        <w:jc w:val="both"/>
        <w:rPr>
          <w:rFonts w:eastAsia="Bliss 2 Regular" w:cs="Arial"/>
          <w:szCs w:val="24"/>
        </w:rPr>
      </w:pPr>
      <w:r w:rsidRPr="0058617F">
        <w:rPr>
          <w:rFonts w:eastAsia="Bliss 2 Regular" w:cs="Arial"/>
          <w:szCs w:val="24"/>
        </w:rPr>
        <w:t xml:space="preserve">The maximum exposure to the investment markets in the year to date </w:t>
      </w:r>
      <w:r w:rsidRPr="0052788D">
        <w:rPr>
          <w:rFonts w:eastAsia="Bliss 2 Regular" w:cs="Arial"/>
          <w:szCs w:val="24"/>
        </w:rPr>
        <w:t xml:space="preserve">was </w:t>
      </w:r>
      <w:r w:rsidRPr="0052788D" w:rsidR="0052788D">
        <w:rPr>
          <w:rFonts w:eastAsia="Bliss 2 Regular" w:cs="Arial"/>
          <w:szCs w:val="24"/>
        </w:rPr>
        <w:t>11</w:t>
      </w:r>
      <w:r w:rsidRPr="0052788D">
        <w:rPr>
          <w:rFonts w:eastAsia="Bliss 2 Regular" w:cs="Arial"/>
          <w:szCs w:val="24"/>
        </w:rPr>
        <w:t>th July 2020, when £10</w:t>
      </w:r>
      <w:r w:rsidRPr="0052788D" w:rsidR="0052788D">
        <w:rPr>
          <w:rFonts w:eastAsia="Bliss 2 Regular" w:cs="Arial"/>
          <w:szCs w:val="24"/>
        </w:rPr>
        <w:t>5</w:t>
      </w:r>
      <w:r w:rsidRPr="0052788D">
        <w:rPr>
          <w:rFonts w:eastAsia="Bliss 2 Regular" w:cs="Arial"/>
          <w:szCs w:val="24"/>
        </w:rPr>
        <w:t>.</w:t>
      </w:r>
      <w:r w:rsidRPr="0052788D" w:rsidR="0052788D">
        <w:rPr>
          <w:rFonts w:eastAsia="Bliss 2 Regular" w:cs="Arial"/>
          <w:szCs w:val="24"/>
        </w:rPr>
        <w:t>8</w:t>
      </w:r>
      <w:r w:rsidRPr="0052788D">
        <w:rPr>
          <w:rFonts w:eastAsia="Bliss 2 Regular" w:cs="Arial"/>
          <w:szCs w:val="24"/>
        </w:rPr>
        <w:t>m (</w:t>
      </w:r>
      <w:proofErr w:type="spellStart"/>
      <w:r w:rsidRPr="0052788D">
        <w:rPr>
          <w:rFonts w:eastAsia="Bliss 2 Regular" w:cs="Arial"/>
          <w:szCs w:val="24"/>
        </w:rPr>
        <w:t>a</w:t>
      </w:r>
      <w:proofErr w:type="spellEnd"/>
      <w:r w:rsidRPr="0058617F">
        <w:rPr>
          <w:rFonts w:eastAsia="Bliss 2 Regular" w:cs="Arial"/>
          <w:szCs w:val="24"/>
        </w:rPr>
        <w:t xml:space="preserve"> a result of </w:t>
      </w:r>
      <w:r w:rsidRPr="005040D6">
        <w:rPr>
          <w:rFonts w:eastAsia="Bliss 2 Regular" w:cs="Arial"/>
          <w:szCs w:val="24"/>
        </w:rPr>
        <w:t>Police Grant, Top-Up Grant</w:t>
      </w:r>
      <w:r w:rsidRPr="005040D6" w:rsidR="005040D6">
        <w:rPr>
          <w:rFonts w:eastAsia="Bliss 2 Regular" w:cs="Arial"/>
          <w:szCs w:val="24"/>
        </w:rPr>
        <w:t>, Pensions Grant</w:t>
      </w:r>
      <w:r w:rsidRPr="005040D6">
        <w:rPr>
          <w:rFonts w:eastAsia="Bliss 2 Regular" w:cs="Arial"/>
          <w:szCs w:val="24"/>
        </w:rPr>
        <w:t xml:space="preserve"> and Precept) was placed within the markets.</w:t>
      </w:r>
      <w:r w:rsidRPr="0058617F">
        <w:rPr>
          <w:rFonts w:eastAsia="Bliss 2 Regular" w:cs="Arial"/>
          <w:szCs w:val="24"/>
        </w:rPr>
        <w:t xml:space="preserve"> </w:t>
      </w:r>
    </w:p>
    <w:p w:rsidRPr="00AD3BF8" w:rsidR="003B36A4" w:rsidP="003B36A4" w:rsidRDefault="003B36A4" w14:paraId="1796F9BE" w14:textId="77777777">
      <w:pPr>
        <w:tabs>
          <w:tab w:val="num" w:pos="0"/>
        </w:tabs>
        <w:spacing w:before="60" w:after="60" w:line="271" w:lineRule="auto"/>
        <w:ind w:left="426"/>
        <w:jc w:val="both"/>
        <w:rPr>
          <w:rFonts w:eastAsia="Bliss 2 Regular" w:cs="Arial"/>
          <w:szCs w:val="24"/>
        </w:rPr>
      </w:pPr>
    </w:p>
    <w:p w:rsidRPr="003B36A4" w:rsidR="00CD3F0C" w:rsidP="004905FC" w:rsidRDefault="003B36A4" w14:paraId="688FA4FC" w14:textId="1944A4B4">
      <w:pPr>
        <w:spacing w:after="0" w:line="240" w:lineRule="auto"/>
        <w:ind w:left="426" w:hanging="710"/>
        <w:jc w:val="both"/>
        <w:rPr>
          <w:rFonts w:eastAsia="Bliss 2 Regular" w:cs="Arial"/>
          <w:b/>
          <w:bCs/>
          <w:szCs w:val="24"/>
        </w:rPr>
      </w:pPr>
      <w:r w:rsidRPr="003B36A4">
        <w:rPr>
          <w:rFonts w:eastAsia="Bliss 2 Regular" w:cs="Arial"/>
          <w:b/>
          <w:bCs/>
          <w:szCs w:val="24"/>
        </w:rPr>
        <w:t>6</w:t>
      </w:r>
      <w:r w:rsidRPr="003B36A4" w:rsidR="00CD3F0C">
        <w:rPr>
          <w:rFonts w:eastAsia="Bliss 2 Regular" w:cs="Arial"/>
          <w:b/>
          <w:bCs/>
          <w:szCs w:val="24"/>
        </w:rPr>
        <w:t>.2</w:t>
      </w:r>
      <w:r w:rsidRPr="003B36A4" w:rsidR="00CD3F0C">
        <w:rPr>
          <w:rFonts w:eastAsia="Bliss 2 Regular" w:cs="Arial"/>
          <w:b/>
          <w:bCs/>
          <w:szCs w:val="24"/>
        </w:rPr>
        <w:tab/>
        <w:t xml:space="preserve">Creditworthiness policy </w:t>
      </w:r>
    </w:p>
    <w:p w:rsidRPr="00AD3BF8" w:rsidR="00CD3F0C" w:rsidP="004905FC" w:rsidRDefault="00CD3F0C" w14:paraId="69B955CC" w14:textId="77777777">
      <w:pPr>
        <w:spacing w:after="0" w:line="240" w:lineRule="auto"/>
        <w:jc w:val="both"/>
        <w:rPr>
          <w:rFonts w:eastAsia="Bliss 2 Regular" w:cs="Arial"/>
          <w:szCs w:val="24"/>
        </w:rPr>
      </w:pPr>
    </w:p>
    <w:p w:rsidR="00CD3F0C" w:rsidP="00CD3F0C" w:rsidRDefault="00CD3F0C" w14:paraId="061D75CA" w14:textId="1E9E5909">
      <w:pPr>
        <w:spacing w:before="60" w:after="60" w:line="271" w:lineRule="auto"/>
        <w:ind w:left="426"/>
        <w:jc w:val="both"/>
        <w:rPr>
          <w:rFonts w:eastAsia="Bliss 2 Regular" w:cs="Arial"/>
          <w:szCs w:val="24"/>
        </w:rPr>
      </w:pPr>
      <w:r w:rsidRPr="00AD3BF8">
        <w:rPr>
          <w:rFonts w:eastAsia="Bliss 2 Regular" w:cs="Arial"/>
          <w:szCs w:val="24"/>
        </w:rPr>
        <w:t xml:space="preserve">The </w:t>
      </w:r>
      <w:r w:rsidR="00672152">
        <w:rPr>
          <w:rFonts w:eastAsia="Bliss 2 Regular" w:cs="Arial"/>
          <w:szCs w:val="24"/>
        </w:rPr>
        <w:t xml:space="preserve">Chief Constables </w:t>
      </w:r>
      <w:r w:rsidRPr="00AD3BF8">
        <w:rPr>
          <w:rFonts w:eastAsia="Bliss 2 Regular" w:cs="Arial"/>
          <w:szCs w:val="24"/>
        </w:rPr>
        <w:t>CFO will maintain a counterparty list in compliance with the following criteria and will revise the criteria and submit them to the Commissioner for approval as necessary. The minimum rating criteria uses the lowest common denominator method of selecting counterparties and applying limits</w:t>
      </w:r>
      <w:r w:rsidR="001B4B61">
        <w:rPr>
          <w:rFonts w:eastAsia="Bliss 2 Regular" w:cs="Arial"/>
          <w:szCs w:val="24"/>
        </w:rPr>
        <w:t>, the table below is the current list used during the reporting period covered by this report</w:t>
      </w:r>
      <w:r w:rsidRPr="00AD3BF8">
        <w:rPr>
          <w:rFonts w:eastAsia="Bliss 2 Regular" w:cs="Arial"/>
          <w:szCs w:val="24"/>
        </w:rPr>
        <w:t>. There are no changes to the counterparty list proposed</w:t>
      </w:r>
      <w:r w:rsidR="003B36A4">
        <w:rPr>
          <w:rFonts w:eastAsia="Bliss 2 Regular" w:cs="Arial"/>
          <w:szCs w:val="24"/>
        </w:rPr>
        <w:t>, although revised value limits are included in the revised Treasury Management Strategy for approval at appendix A</w:t>
      </w:r>
      <w:r w:rsidRPr="00AD3BF8">
        <w:rPr>
          <w:rFonts w:eastAsia="Bliss 2 Regular" w:cs="Arial"/>
          <w:szCs w:val="24"/>
        </w:rPr>
        <w:t>.</w:t>
      </w:r>
    </w:p>
    <w:p w:rsidRPr="00AD3BF8" w:rsidR="00EA4B06" w:rsidP="00CD3F0C" w:rsidRDefault="00EA4B06" w14:paraId="751F65B9" w14:textId="77777777">
      <w:pPr>
        <w:spacing w:before="60" w:after="60" w:line="271" w:lineRule="auto"/>
        <w:ind w:left="426"/>
        <w:jc w:val="both"/>
        <w:rPr>
          <w:rFonts w:eastAsia="Bliss 2 Regular" w:cs="Arial"/>
          <w:szCs w:val="24"/>
        </w:rPr>
      </w:pPr>
    </w:p>
    <w:tbl>
      <w:tblPr>
        <w:tblStyle w:val="TableGrid"/>
        <w:tblW w:w="0" w:type="auto"/>
        <w:tblInd w:w="421" w:type="dxa"/>
        <w:tblLook w:val="04A0" w:firstRow="1" w:lastRow="0" w:firstColumn="1" w:lastColumn="0" w:noHBand="0" w:noVBand="1"/>
      </w:tblPr>
      <w:tblGrid>
        <w:gridCol w:w="4110"/>
        <w:gridCol w:w="1985"/>
        <w:gridCol w:w="1701"/>
        <w:gridCol w:w="1411"/>
      </w:tblGrid>
      <w:tr w:rsidR="004905FC" w:rsidTr="00672152" w14:paraId="7A82F09E" w14:textId="77777777">
        <w:tc>
          <w:tcPr>
            <w:tcW w:w="4110" w:type="dxa"/>
            <w:shd w:val="clear" w:color="auto" w:fill="B4C6E7" w:themeFill="accent1" w:themeFillTint="66"/>
          </w:tcPr>
          <w:p w:rsidR="004905FC" w:rsidP="004905FC" w:rsidRDefault="004905FC" w14:paraId="0FB5F70C" w14:textId="77777777">
            <w:pPr>
              <w:spacing w:after="0" w:line="240" w:lineRule="auto"/>
              <w:jc w:val="both"/>
              <w:rPr>
                <w:rFonts w:eastAsia="Bliss 2 Regular" w:cs="Arial"/>
                <w:szCs w:val="24"/>
              </w:rPr>
            </w:pPr>
          </w:p>
        </w:tc>
        <w:tc>
          <w:tcPr>
            <w:tcW w:w="1985" w:type="dxa"/>
            <w:shd w:val="clear" w:color="auto" w:fill="B4C6E7" w:themeFill="accent1" w:themeFillTint="66"/>
          </w:tcPr>
          <w:p w:rsidRPr="003A58D2" w:rsidR="004905FC" w:rsidP="003A58D2" w:rsidRDefault="004905FC" w14:paraId="52D34C25" w14:textId="7822C7FC">
            <w:pPr>
              <w:spacing w:after="0" w:line="240" w:lineRule="auto"/>
              <w:jc w:val="center"/>
              <w:rPr>
                <w:rFonts w:eastAsia="Bliss 2 Regular" w:cs="Arial"/>
                <w:b/>
                <w:bCs/>
                <w:szCs w:val="24"/>
              </w:rPr>
            </w:pPr>
            <w:r w:rsidRPr="003A58D2">
              <w:rPr>
                <w:rFonts w:eastAsia="Bliss 2 Regular" w:cs="Arial"/>
                <w:b/>
                <w:bCs/>
                <w:szCs w:val="24"/>
              </w:rPr>
              <w:t>Fitch Long Term Rating (or equivalent)</w:t>
            </w:r>
          </w:p>
        </w:tc>
        <w:tc>
          <w:tcPr>
            <w:tcW w:w="1701" w:type="dxa"/>
            <w:shd w:val="clear" w:color="auto" w:fill="B4C6E7" w:themeFill="accent1" w:themeFillTint="66"/>
          </w:tcPr>
          <w:p w:rsidRPr="003A58D2" w:rsidR="004905FC" w:rsidP="003A58D2" w:rsidRDefault="004905FC" w14:paraId="0F1CF78B" w14:textId="29D67816">
            <w:pPr>
              <w:spacing w:after="0" w:line="240" w:lineRule="auto"/>
              <w:jc w:val="center"/>
              <w:rPr>
                <w:rFonts w:eastAsia="Bliss 2 Regular" w:cs="Arial"/>
                <w:b/>
                <w:bCs/>
                <w:szCs w:val="24"/>
              </w:rPr>
            </w:pPr>
            <w:r w:rsidRPr="003A58D2">
              <w:rPr>
                <w:rFonts w:eastAsia="Bliss 2 Regular" w:cs="Arial"/>
                <w:b/>
                <w:bCs/>
                <w:szCs w:val="24"/>
              </w:rPr>
              <w:t>Value Limit</w:t>
            </w:r>
          </w:p>
        </w:tc>
        <w:tc>
          <w:tcPr>
            <w:tcW w:w="1411" w:type="dxa"/>
            <w:shd w:val="clear" w:color="auto" w:fill="B4C6E7" w:themeFill="accent1" w:themeFillTint="66"/>
          </w:tcPr>
          <w:p w:rsidRPr="003A58D2" w:rsidR="004905FC" w:rsidP="003A58D2" w:rsidRDefault="004905FC" w14:paraId="655149A3" w14:textId="36190A38">
            <w:pPr>
              <w:spacing w:after="0" w:line="240" w:lineRule="auto"/>
              <w:jc w:val="center"/>
              <w:rPr>
                <w:rFonts w:eastAsia="Bliss 2 Regular" w:cs="Arial"/>
                <w:b/>
                <w:bCs/>
                <w:szCs w:val="24"/>
              </w:rPr>
            </w:pPr>
            <w:r w:rsidRPr="003A58D2">
              <w:rPr>
                <w:rFonts w:eastAsia="Bliss 2 Regular" w:cs="Arial"/>
                <w:b/>
                <w:bCs/>
                <w:szCs w:val="24"/>
              </w:rPr>
              <w:t>Time Limit</w:t>
            </w:r>
          </w:p>
        </w:tc>
      </w:tr>
      <w:tr w:rsidR="004905FC" w:rsidTr="003A58D2" w14:paraId="1F5950B7" w14:textId="77777777">
        <w:tc>
          <w:tcPr>
            <w:tcW w:w="4110" w:type="dxa"/>
          </w:tcPr>
          <w:p w:rsidR="004905FC" w:rsidP="004905FC" w:rsidRDefault="003A58D2" w14:paraId="0C55C7A6" w14:textId="6B02FCF5">
            <w:pPr>
              <w:spacing w:after="0" w:line="240" w:lineRule="auto"/>
              <w:jc w:val="both"/>
              <w:rPr>
                <w:rFonts w:eastAsia="Bliss 2 Regular" w:cs="Arial"/>
                <w:szCs w:val="24"/>
              </w:rPr>
            </w:pPr>
            <w:r>
              <w:rPr>
                <w:rFonts w:eastAsia="Bliss 2 Regular" w:cs="Arial"/>
                <w:szCs w:val="24"/>
              </w:rPr>
              <w:t>Banks 1 Higher Quality</w:t>
            </w:r>
          </w:p>
        </w:tc>
        <w:tc>
          <w:tcPr>
            <w:tcW w:w="1985" w:type="dxa"/>
          </w:tcPr>
          <w:p w:rsidR="004905FC" w:rsidP="003A58D2" w:rsidRDefault="003A58D2" w14:paraId="51D8F4A9" w14:textId="2265F790">
            <w:pPr>
              <w:spacing w:after="0" w:line="240" w:lineRule="auto"/>
              <w:jc w:val="center"/>
              <w:rPr>
                <w:rFonts w:eastAsia="Bliss 2 Regular" w:cs="Arial"/>
                <w:szCs w:val="24"/>
              </w:rPr>
            </w:pPr>
            <w:r>
              <w:rPr>
                <w:rFonts w:eastAsia="Bliss 2 Regular" w:cs="Arial"/>
                <w:szCs w:val="24"/>
              </w:rPr>
              <w:t>AAA</w:t>
            </w:r>
          </w:p>
        </w:tc>
        <w:tc>
          <w:tcPr>
            <w:tcW w:w="1701" w:type="dxa"/>
          </w:tcPr>
          <w:p w:rsidR="004905FC" w:rsidP="003A58D2" w:rsidRDefault="003A58D2" w14:paraId="0B2ECA92" w14:textId="1274A0E6">
            <w:pPr>
              <w:spacing w:after="0" w:line="240" w:lineRule="auto"/>
              <w:jc w:val="center"/>
              <w:rPr>
                <w:rFonts w:eastAsia="Bliss 2 Regular" w:cs="Arial"/>
                <w:szCs w:val="24"/>
              </w:rPr>
            </w:pPr>
            <w:r>
              <w:rPr>
                <w:rFonts w:eastAsia="Bliss 2 Regular" w:cs="Arial"/>
                <w:szCs w:val="24"/>
              </w:rPr>
              <w:t>£5m</w:t>
            </w:r>
          </w:p>
        </w:tc>
        <w:tc>
          <w:tcPr>
            <w:tcW w:w="1411" w:type="dxa"/>
          </w:tcPr>
          <w:p w:rsidR="004905FC" w:rsidP="003A58D2" w:rsidRDefault="003A58D2" w14:paraId="1D1DE7FB" w14:textId="5305AD3E">
            <w:pPr>
              <w:spacing w:after="0" w:line="240" w:lineRule="auto"/>
              <w:jc w:val="center"/>
              <w:rPr>
                <w:rFonts w:eastAsia="Bliss 2 Regular" w:cs="Arial"/>
                <w:szCs w:val="24"/>
              </w:rPr>
            </w:pPr>
            <w:r>
              <w:rPr>
                <w:rFonts w:eastAsia="Bliss 2 Regular" w:cs="Arial"/>
                <w:szCs w:val="24"/>
              </w:rPr>
              <w:t>1 year</w:t>
            </w:r>
          </w:p>
        </w:tc>
      </w:tr>
      <w:tr w:rsidR="003A58D2" w:rsidTr="003A58D2" w14:paraId="58E5BD2C" w14:textId="77777777">
        <w:tc>
          <w:tcPr>
            <w:tcW w:w="4110" w:type="dxa"/>
          </w:tcPr>
          <w:p w:rsidR="003A58D2" w:rsidP="003A58D2" w:rsidRDefault="003A58D2" w14:paraId="407A4FBA" w14:textId="23DBAD3B">
            <w:pPr>
              <w:spacing w:after="0" w:line="240" w:lineRule="auto"/>
              <w:jc w:val="both"/>
              <w:rPr>
                <w:rFonts w:eastAsia="Bliss 2 Regular" w:cs="Arial"/>
                <w:szCs w:val="24"/>
              </w:rPr>
            </w:pPr>
            <w:r w:rsidRPr="005B52EA">
              <w:t xml:space="preserve">Banks 1 </w:t>
            </w:r>
            <w:r>
              <w:t xml:space="preserve">Medium </w:t>
            </w:r>
            <w:r w:rsidRPr="005B52EA">
              <w:t>Quality</w:t>
            </w:r>
          </w:p>
        </w:tc>
        <w:tc>
          <w:tcPr>
            <w:tcW w:w="1985" w:type="dxa"/>
          </w:tcPr>
          <w:p w:rsidR="003A58D2" w:rsidP="003A58D2" w:rsidRDefault="003A58D2" w14:paraId="2F5164D8" w14:textId="53D5DFA1">
            <w:pPr>
              <w:spacing w:after="0" w:line="240" w:lineRule="auto"/>
              <w:jc w:val="center"/>
              <w:rPr>
                <w:rFonts w:eastAsia="Bliss 2 Regular" w:cs="Arial"/>
                <w:szCs w:val="24"/>
              </w:rPr>
            </w:pPr>
            <w:r>
              <w:rPr>
                <w:rFonts w:eastAsia="Bliss 2 Regular" w:cs="Arial"/>
                <w:szCs w:val="24"/>
              </w:rPr>
              <w:t>AA-</w:t>
            </w:r>
          </w:p>
        </w:tc>
        <w:tc>
          <w:tcPr>
            <w:tcW w:w="1701" w:type="dxa"/>
          </w:tcPr>
          <w:p w:rsidR="003A58D2" w:rsidP="003A58D2" w:rsidRDefault="003A58D2" w14:paraId="609676E0" w14:textId="030C85C6">
            <w:pPr>
              <w:spacing w:after="0" w:line="240" w:lineRule="auto"/>
              <w:jc w:val="center"/>
              <w:rPr>
                <w:rFonts w:eastAsia="Bliss 2 Regular" w:cs="Arial"/>
                <w:szCs w:val="24"/>
              </w:rPr>
            </w:pPr>
            <w:r>
              <w:rPr>
                <w:rFonts w:eastAsia="Bliss 2 Regular" w:cs="Arial"/>
                <w:szCs w:val="24"/>
              </w:rPr>
              <w:t>£5m</w:t>
            </w:r>
          </w:p>
        </w:tc>
        <w:tc>
          <w:tcPr>
            <w:tcW w:w="1411" w:type="dxa"/>
          </w:tcPr>
          <w:p w:rsidR="003A58D2" w:rsidP="003A58D2" w:rsidRDefault="003A58D2" w14:paraId="075B695D" w14:textId="3BB28895">
            <w:pPr>
              <w:spacing w:after="0" w:line="240" w:lineRule="auto"/>
              <w:jc w:val="center"/>
              <w:rPr>
                <w:rFonts w:eastAsia="Bliss 2 Regular" w:cs="Arial"/>
                <w:szCs w:val="24"/>
              </w:rPr>
            </w:pPr>
            <w:r>
              <w:rPr>
                <w:rFonts w:eastAsia="Bliss 2 Regular" w:cs="Arial"/>
                <w:szCs w:val="24"/>
              </w:rPr>
              <w:t>1 year</w:t>
            </w:r>
          </w:p>
        </w:tc>
      </w:tr>
      <w:tr w:rsidR="003A58D2" w:rsidTr="003A58D2" w14:paraId="304AAD18" w14:textId="77777777">
        <w:tc>
          <w:tcPr>
            <w:tcW w:w="4110" w:type="dxa"/>
          </w:tcPr>
          <w:p w:rsidR="003A58D2" w:rsidP="003A58D2" w:rsidRDefault="003A58D2" w14:paraId="00971728" w14:textId="40B358A2">
            <w:pPr>
              <w:spacing w:after="0" w:line="240" w:lineRule="auto"/>
              <w:jc w:val="both"/>
              <w:rPr>
                <w:rFonts w:eastAsia="Bliss 2 Regular" w:cs="Arial"/>
                <w:szCs w:val="24"/>
              </w:rPr>
            </w:pPr>
            <w:r w:rsidRPr="005B52EA">
              <w:t xml:space="preserve">Banks 1 </w:t>
            </w:r>
            <w:r>
              <w:t>Medium/Lower</w:t>
            </w:r>
            <w:r w:rsidRPr="005B52EA">
              <w:t xml:space="preserve"> Quality</w:t>
            </w:r>
          </w:p>
        </w:tc>
        <w:tc>
          <w:tcPr>
            <w:tcW w:w="1985" w:type="dxa"/>
          </w:tcPr>
          <w:p w:rsidR="003A58D2" w:rsidP="003A58D2" w:rsidRDefault="003A58D2" w14:paraId="3F6008A9" w14:textId="3B5C14F2">
            <w:pPr>
              <w:spacing w:after="0" w:line="240" w:lineRule="auto"/>
              <w:jc w:val="center"/>
              <w:rPr>
                <w:rFonts w:eastAsia="Bliss 2 Regular" w:cs="Arial"/>
                <w:szCs w:val="24"/>
              </w:rPr>
            </w:pPr>
            <w:r>
              <w:rPr>
                <w:rFonts w:eastAsia="Bliss 2 Regular" w:cs="Arial"/>
                <w:szCs w:val="24"/>
              </w:rPr>
              <w:t>A</w:t>
            </w:r>
          </w:p>
        </w:tc>
        <w:tc>
          <w:tcPr>
            <w:tcW w:w="1701" w:type="dxa"/>
          </w:tcPr>
          <w:p w:rsidR="003A58D2" w:rsidP="003A58D2" w:rsidRDefault="003A58D2" w14:paraId="62391EE6" w14:textId="733F54EB">
            <w:pPr>
              <w:spacing w:after="0" w:line="240" w:lineRule="auto"/>
              <w:jc w:val="center"/>
              <w:rPr>
                <w:rFonts w:eastAsia="Bliss 2 Regular" w:cs="Arial"/>
                <w:szCs w:val="24"/>
              </w:rPr>
            </w:pPr>
            <w:r>
              <w:rPr>
                <w:rFonts w:eastAsia="Bliss 2 Regular" w:cs="Arial"/>
                <w:szCs w:val="24"/>
              </w:rPr>
              <w:t>£4m</w:t>
            </w:r>
          </w:p>
        </w:tc>
        <w:tc>
          <w:tcPr>
            <w:tcW w:w="1411" w:type="dxa"/>
          </w:tcPr>
          <w:p w:rsidR="003A58D2" w:rsidP="003A58D2" w:rsidRDefault="003A58D2" w14:paraId="44634B40" w14:textId="30F4D63A">
            <w:pPr>
              <w:spacing w:after="0" w:line="240" w:lineRule="auto"/>
              <w:jc w:val="center"/>
              <w:rPr>
                <w:rFonts w:eastAsia="Bliss 2 Regular" w:cs="Arial"/>
                <w:szCs w:val="24"/>
              </w:rPr>
            </w:pPr>
            <w:r>
              <w:rPr>
                <w:rFonts w:eastAsia="Bliss 2 Regular" w:cs="Arial"/>
                <w:szCs w:val="24"/>
              </w:rPr>
              <w:t>6 months</w:t>
            </w:r>
          </w:p>
        </w:tc>
      </w:tr>
      <w:tr w:rsidR="003A58D2" w:rsidTr="003A58D2" w14:paraId="22796A0B" w14:textId="77777777">
        <w:tc>
          <w:tcPr>
            <w:tcW w:w="4110" w:type="dxa"/>
          </w:tcPr>
          <w:p w:rsidR="003A58D2" w:rsidP="003A58D2" w:rsidRDefault="003A58D2" w14:paraId="3BDF3933" w14:textId="1DEF99AA">
            <w:pPr>
              <w:spacing w:after="0" w:line="240" w:lineRule="auto"/>
              <w:jc w:val="both"/>
              <w:rPr>
                <w:rFonts w:eastAsia="Bliss 2 Regular" w:cs="Arial"/>
                <w:szCs w:val="24"/>
              </w:rPr>
            </w:pPr>
            <w:r w:rsidRPr="005B52EA">
              <w:t xml:space="preserve">Banks 1 </w:t>
            </w:r>
            <w:r>
              <w:t xml:space="preserve">Lower </w:t>
            </w:r>
            <w:r w:rsidRPr="005B52EA">
              <w:t>Quality</w:t>
            </w:r>
          </w:p>
        </w:tc>
        <w:tc>
          <w:tcPr>
            <w:tcW w:w="1985" w:type="dxa"/>
          </w:tcPr>
          <w:p w:rsidR="003A58D2" w:rsidP="003A58D2" w:rsidRDefault="003A58D2" w14:paraId="7DA23E4D" w14:textId="2F29444C">
            <w:pPr>
              <w:spacing w:after="0" w:line="240" w:lineRule="auto"/>
              <w:jc w:val="center"/>
              <w:rPr>
                <w:rFonts w:eastAsia="Bliss 2 Regular" w:cs="Arial"/>
                <w:szCs w:val="24"/>
              </w:rPr>
            </w:pPr>
            <w:r>
              <w:rPr>
                <w:rFonts w:eastAsia="Bliss 2 Regular" w:cs="Arial"/>
                <w:szCs w:val="24"/>
              </w:rPr>
              <w:t>A-</w:t>
            </w:r>
          </w:p>
        </w:tc>
        <w:tc>
          <w:tcPr>
            <w:tcW w:w="1701" w:type="dxa"/>
          </w:tcPr>
          <w:p w:rsidR="003A58D2" w:rsidP="003A58D2" w:rsidRDefault="003A58D2" w14:paraId="543D1BF0" w14:textId="3E80AC71">
            <w:pPr>
              <w:spacing w:after="0" w:line="240" w:lineRule="auto"/>
              <w:jc w:val="center"/>
              <w:rPr>
                <w:rFonts w:eastAsia="Bliss 2 Regular" w:cs="Arial"/>
                <w:szCs w:val="24"/>
              </w:rPr>
            </w:pPr>
            <w:r>
              <w:rPr>
                <w:rFonts w:eastAsia="Bliss 2 Regular" w:cs="Arial"/>
                <w:szCs w:val="24"/>
              </w:rPr>
              <w:t>£3m</w:t>
            </w:r>
          </w:p>
        </w:tc>
        <w:tc>
          <w:tcPr>
            <w:tcW w:w="1411" w:type="dxa"/>
          </w:tcPr>
          <w:p w:rsidR="003A58D2" w:rsidP="003A58D2" w:rsidRDefault="003A58D2" w14:paraId="4765ABB7" w14:textId="13949CFB">
            <w:pPr>
              <w:spacing w:after="0" w:line="240" w:lineRule="auto"/>
              <w:jc w:val="center"/>
              <w:rPr>
                <w:rFonts w:eastAsia="Bliss 2 Regular" w:cs="Arial"/>
                <w:szCs w:val="24"/>
              </w:rPr>
            </w:pPr>
            <w:r>
              <w:rPr>
                <w:rFonts w:eastAsia="Bliss 2 Regular" w:cs="Arial"/>
                <w:szCs w:val="24"/>
              </w:rPr>
              <w:t>3 months</w:t>
            </w:r>
          </w:p>
        </w:tc>
      </w:tr>
      <w:tr w:rsidR="003A58D2" w:rsidTr="003A58D2" w14:paraId="6F0D7106" w14:textId="77777777">
        <w:tc>
          <w:tcPr>
            <w:tcW w:w="4110" w:type="dxa"/>
          </w:tcPr>
          <w:p w:rsidR="003A58D2" w:rsidP="003A58D2" w:rsidRDefault="003A58D2" w14:paraId="26E5E451" w14:textId="6B5F3341">
            <w:pPr>
              <w:spacing w:after="0" w:line="240" w:lineRule="auto"/>
              <w:jc w:val="both"/>
              <w:rPr>
                <w:rFonts w:eastAsia="Bliss 2 Regular" w:cs="Arial"/>
                <w:szCs w:val="24"/>
              </w:rPr>
            </w:pPr>
            <w:r w:rsidRPr="005B52EA">
              <w:t xml:space="preserve">Banks </w:t>
            </w:r>
            <w:r>
              <w:t>- Part Nationalised</w:t>
            </w:r>
          </w:p>
        </w:tc>
        <w:tc>
          <w:tcPr>
            <w:tcW w:w="1985" w:type="dxa"/>
          </w:tcPr>
          <w:p w:rsidR="003A58D2" w:rsidP="003A58D2" w:rsidRDefault="003A58D2" w14:paraId="5C74B35E" w14:textId="0167AFFF">
            <w:pPr>
              <w:spacing w:after="0" w:line="240" w:lineRule="auto"/>
              <w:jc w:val="center"/>
              <w:rPr>
                <w:rFonts w:eastAsia="Bliss 2 Regular" w:cs="Arial"/>
                <w:szCs w:val="24"/>
              </w:rPr>
            </w:pPr>
            <w:r>
              <w:rPr>
                <w:rFonts w:eastAsia="Bliss 2 Regular" w:cs="Arial"/>
                <w:szCs w:val="24"/>
              </w:rPr>
              <w:t>N/A</w:t>
            </w:r>
          </w:p>
        </w:tc>
        <w:tc>
          <w:tcPr>
            <w:tcW w:w="1701" w:type="dxa"/>
          </w:tcPr>
          <w:p w:rsidR="003A58D2" w:rsidP="003A58D2" w:rsidRDefault="003A58D2" w14:paraId="041202FB" w14:textId="40735AE3">
            <w:pPr>
              <w:spacing w:after="0" w:line="240" w:lineRule="auto"/>
              <w:jc w:val="center"/>
              <w:rPr>
                <w:rFonts w:eastAsia="Bliss 2 Regular" w:cs="Arial"/>
                <w:szCs w:val="24"/>
              </w:rPr>
            </w:pPr>
            <w:r>
              <w:rPr>
                <w:rFonts w:eastAsia="Bliss 2 Regular" w:cs="Arial"/>
                <w:szCs w:val="24"/>
              </w:rPr>
              <w:t>£5m</w:t>
            </w:r>
          </w:p>
        </w:tc>
        <w:tc>
          <w:tcPr>
            <w:tcW w:w="1411" w:type="dxa"/>
          </w:tcPr>
          <w:p w:rsidR="003A58D2" w:rsidP="003A58D2" w:rsidRDefault="003A58D2" w14:paraId="420904E4" w14:textId="1C910A5A">
            <w:pPr>
              <w:spacing w:after="0" w:line="240" w:lineRule="auto"/>
              <w:jc w:val="center"/>
              <w:rPr>
                <w:rFonts w:eastAsia="Bliss 2 Regular" w:cs="Arial"/>
                <w:szCs w:val="24"/>
              </w:rPr>
            </w:pPr>
            <w:r>
              <w:rPr>
                <w:rFonts w:eastAsia="Bliss 2 Regular" w:cs="Arial"/>
                <w:szCs w:val="24"/>
              </w:rPr>
              <w:t>1 year</w:t>
            </w:r>
          </w:p>
        </w:tc>
      </w:tr>
      <w:tr w:rsidR="003A58D2" w:rsidTr="003A58D2" w14:paraId="1B3313F4" w14:textId="77777777">
        <w:tc>
          <w:tcPr>
            <w:tcW w:w="4110" w:type="dxa"/>
          </w:tcPr>
          <w:p w:rsidRPr="005B52EA" w:rsidR="003A58D2" w:rsidP="003A58D2" w:rsidRDefault="003A58D2" w14:paraId="1A322959" w14:textId="3BC3E950">
            <w:pPr>
              <w:spacing w:after="0" w:line="240" w:lineRule="auto"/>
              <w:jc w:val="both"/>
            </w:pPr>
            <w:r>
              <w:t>Limit 3 Category – Commissioners Banker (not meeting Banks 1)</w:t>
            </w:r>
          </w:p>
        </w:tc>
        <w:tc>
          <w:tcPr>
            <w:tcW w:w="1985" w:type="dxa"/>
            <w:vAlign w:val="center"/>
          </w:tcPr>
          <w:p w:rsidR="003A58D2" w:rsidP="003A58D2" w:rsidRDefault="003A58D2" w14:paraId="1168F70E" w14:textId="083DB0B3">
            <w:pPr>
              <w:spacing w:after="0" w:line="240" w:lineRule="auto"/>
              <w:jc w:val="center"/>
              <w:rPr>
                <w:rFonts w:eastAsia="Bliss 2 Regular" w:cs="Arial"/>
                <w:szCs w:val="24"/>
              </w:rPr>
            </w:pPr>
            <w:r>
              <w:rPr>
                <w:rFonts w:eastAsia="Bliss 2 Regular" w:cs="Arial"/>
                <w:szCs w:val="24"/>
              </w:rPr>
              <w:t>AA</w:t>
            </w:r>
          </w:p>
        </w:tc>
        <w:tc>
          <w:tcPr>
            <w:tcW w:w="1701" w:type="dxa"/>
            <w:vAlign w:val="center"/>
          </w:tcPr>
          <w:p w:rsidR="003A58D2" w:rsidP="003A58D2" w:rsidRDefault="003A58D2" w14:paraId="02DA7EA6" w14:textId="27F79FA1">
            <w:pPr>
              <w:spacing w:after="0" w:line="240" w:lineRule="auto"/>
              <w:jc w:val="center"/>
              <w:rPr>
                <w:rFonts w:eastAsia="Bliss 2 Regular" w:cs="Arial"/>
                <w:szCs w:val="24"/>
              </w:rPr>
            </w:pPr>
            <w:r>
              <w:rPr>
                <w:rFonts w:eastAsia="Bliss 2 Regular" w:cs="Arial"/>
                <w:szCs w:val="24"/>
              </w:rPr>
              <w:t>£5m</w:t>
            </w:r>
          </w:p>
        </w:tc>
        <w:tc>
          <w:tcPr>
            <w:tcW w:w="1411" w:type="dxa"/>
            <w:vAlign w:val="center"/>
          </w:tcPr>
          <w:p w:rsidR="003A58D2" w:rsidP="003A58D2" w:rsidRDefault="003A58D2" w14:paraId="13396061" w14:textId="365729EA">
            <w:pPr>
              <w:spacing w:after="0" w:line="240" w:lineRule="auto"/>
              <w:jc w:val="center"/>
              <w:rPr>
                <w:rFonts w:eastAsia="Bliss 2 Regular" w:cs="Arial"/>
                <w:szCs w:val="24"/>
              </w:rPr>
            </w:pPr>
            <w:r>
              <w:rPr>
                <w:rFonts w:eastAsia="Bliss 2 Regular" w:cs="Arial"/>
                <w:szCs w:val="24"/>
              </w:rPr>
              <w:t>1 day</w:t>
            </w:r>
          </w:p>
        </w:tc>
      </w:tr>
      <w:tr w:rsidR="003A58D2" w:rsidTr="003A58D2" w14:paraId="3D9BF14A" w14:textId="77777777">
        <w:tc>
          <w:tcPr>
            <w:tcW w:w="4110" w:type="dxa"/>
          </w:tcPr>
          <w:p w:rsidR="003A58D2" w:rsidP="003A58D2" w:rsidRDefault="003A58D2" w14:paraId="08ECC249" w14:textId="37AED95D">
            <w:pPr>
              <w:spacing w:after="0" w:line="240" w:lineRule="auto"/>
              <w:jc w:val="both"/>
            </w:pPr>
            <w:r>
              <w:t xml:space="preserve">UK Govt </w:t>
            </w:r>
            <w:r w:rsidR="00164323">
              <w:t>–</w:t>
            </w:r>
            <w:r>
              <w:t xml:space="preserve"> DMADF</w:t>
            </w:r>
          </w:p>
        </w:tc>
        <w:tc>
          <w:tcPr>
            <w:tcW w:w="1985" w:type="dxa"/>
          </w:tcPr>
          <w:p w:rsidR="003A58D2" w:rsidP="003A58D2" w:rsidRDefault="003A58D2" w14:paraId="7DE620D7" w14:textId="7ED4E66C">
            <w:pPr>
              <w:spacing w:after="0" w:line="240" w:lineRule="auto"/>
              <w:jc w:val="center"/>
              <w:rPr>
                <w:rFonts w:eastAsia="Bliss 2 Regular" w:cs="Arial"/>
                <w:szCs w:val="24"/>
              </w:rPr>
            </w:pPr>
            <w:r>
              <w:rPr>
                <w:rFonts w:eastAsia="Bliss 2 Regular" w:cs="Arial"/>
                <w:szCs w:val="24"/>
              </w:rPr>
              <w:t>AAA</w:t>
            </w:r>
          </w:p>
        </w:tc>
        <w:tc>
          <w:tcPr>
            <w:tcW w:w="1701" w:type="dxa"/>
          </w:tcPr>
          <w:p w:rsidR="003A58D2" w:rsidP="003A58D2" w:rsidRDefault="003A58D2" w14:paraId="0086CC66" w14:textId="095DE730">
            <w:pPr>
              <w:spacing w:after="0" w:line="240" w:lineRule="auto"/>
              <w:jc w:val="center"/>
              <w:rPr>
                <w:rFonts w:eastAsia="Bliss 2 Regular" w:cs="Arial"/>
                <w:szCs w:val="24"/>
              </w:rPr>
            </w:pPr>
            <w:r>
              <w:rPr>
                <w:rFonts w:eastAsia="Bliss 2 Regular" w:cs="Arial"/>
                <w:szCs w:val="24"/>
              </w:rPr>
              <w:t>Unlimited</w:t>
            </w:r>
          </w:p>
        </w:tc>
        <w:tc>
          <w:tcPr>
            <w:tcW w:w="1411" w:type="dxa"/>
          </w:tcPr>
          <w:p w:rsidR="003A58D2" w:rsidP="003A58D2" w:rsidRDefault="003A58D2" w14:paraId="4E5C14EF" w14:textId="5CDFD268">
            <w:pPr>
              <w:spacing w:after="0" w:line="240" w:lineRule="auto"/>
              <w:jc w:val="center"/>
              <w:rPr>
                <w:rFonts w:eastAsia="Bliss 2 Regular" w:cs="Arial"/>
                <w:szCs w:val="24"/>
              </w:rPr>
            </w:pPr>
            <w:r>
              <w:rPr>
                <w:rFonts w:eastAsia="Bliss 2 Regular" w:cs="Arial"/>
                <w:szCs w:val="24"/>
              </w:rPr>
              <w:t>6 months</w:t>
            </w:r>
          </w:p>
        </w:tc>
      </w:tr>
      <w:tr w:rsidR="003A58D2" w:rsidTr="003A58D2" w14:paraId="43694FE7" w14:textId="77777777">
        <w:tc>
          <w:tcPr>
            <w:tcW w:w="4110" w:type="dxa"/>
          </w:tcPr>
          <w:p w:rsidR="003A58D2" w:rsidP="003A58D2" w:rsidRDefault="003A58D2" w14:paraId="0F35FB8A" w14:textId="3A4BC307">
            <w:pPr>
              <w:spacing w:after="0" w:line="240" w:lineRule="auto"/>
              <w:jc w:val="both"/>
            </w:pPr>
            <w:r>
              <w:t>Local Authorities</w:t>
            </w:r>
          </w:p>
        </w:tc>
        <w:tc>
          <w:tcPr>
            <w:tcW w:w="1985" w:type="dxa"/>
          </w:tcPr>
          <w:p w:rsidR="003A58D2" w:rsidP="003A58D2" w:rsidRDefault="003A58D2" w14:paraId="24FF8539" w14:textId="5DF97392">
            <w:pPr>
              <w:spacing w:after="0" w:line="240" w:lineRule="auto"/>
              <w:jc w:val="center"/>
              <w:rPr>
                <w:rFonts w:eastAsia="Bliss 2 Regular" w:cs="Arial"/>
                <w:szCs w:val="24"/>
              </w:rPr>
            </w:pPr>
            <w:r>
              <w:rPr>
                <w:rFonts w:eastAsia="Bliss 2 Regular" w:cs="Arial"/>
                <w:szCs w:val="24"/>
              </w:rPr>
              <w:t>N/A</w:t>
            </w:r>
          </w:p>
        </w:tc>
        <w:tc>
          <w:tcPr>
            <w:tcW w:w="1701" w:type="dxa"/>
          </w:tcPr>
          <w:p w:rsidR="003A58D2" w:rsidP="003A58D2" w:rsidRDefault="003A58D2" w14:paraId="79A69600" w14:textId="4B44FC08">
            <w:pPr>
              <w:spacing w:after="0" w:line="240" w:lineRule="auto"/>
              <w:jc w:val="center"/>
              <w:rPr>
                <w:rFonts w:eastAsia="Bliss 2 Regular" w:cs="Arial"/>
                <w:szCs w:val="24"/>
              </w:rPr>
            </w:pPr>
            <w:r>
              <w:rPr>
                <w:rFonts w:eastAsia="Bliss 2 Regular" w:cs="Arial"/>
                <w:szCs w:val="24"/>
              </w:rPr>
              <w:t>£5m - £8m</w:t>
            </w:r>
          </w:p>
        </w:tc>
        <w:tc>
          <w:tcPr>
            <w:tcW w:w="1411" w:type="dxa"/>
          </w:tcPr>
          <w:p w:rsidR="003A58D2" w:rsidP="003A58D2" w:rsidRDefault="003A58D2" w14:paraId="06D563FB" w14:textId="147C3BA6">
            <w:pPr>
              <w:spacing w:after="0" w:line="240" w:lineRule="auto"/>
              <w:jc w:val="center"/>
              <w:rPr>
                <w:rFonts w:eastAsia="Bliss 2 Regular" w:cs="Arial"/>
                <w:szCs w:val="24"/>
              </w:rPr>
            </w:pPr>
            <w:r>
              <w:rPr>
                <w:rFonts w:eastAsia="Bliss 2 Regular" w:cs="Arial"/>
                <w:szCs w:val="24"/>
              </w:rPr>
              <w:t>1-2 years</w:t>
            </w:r>
          </w:p>
        </w:tc>
      </w:tr>
      <w:tr w:rsidR="003A58D2" w:rsidTr="003A58D2" w14:paraId="2DEF44F3" w14:textId="77777777">
        <w:tc>
          <w:tcPr>
            <w:tcW w:w="4110" w:type="dxa"/>
          </w:tcPr>
          <w:p w:rsidR="003A58D2" w:rsidP="003A58D2" w:rsidRDefault="003A58D2" w14:paraId="5227D39C" w14:textId="51242CDE">
            <w:pPr>
              <w:spacing w:after="0" w:line="240" w:lineRule="auto"/>
              <w:jc w:val="both"/>
            </w:pPr>
            <w:r>
              <w:t>Low Volatility Net Asset Value Fund</w:t>
            </w:r>
          </w:p>
        </w:tc>
        <w:tc>
          <w:tcPr>
            <w:tcW w:w="1985" w:type="dxa"/>
          </w:tcPr>
          <w:p w:rsidR="003A58D2" w:rsidP="003A58D2" w:rsidRDefault="003A58D2" w14:paraId="5CEDF6DD" w14:textId="7E29F4BA">
            <w:pPr>
              <w:spacing w:after="0" w:line="240" w:lineRule="auto"/>
              <w:jc w:val="center"/>
              <w:rPr>
                <w:rFonts w:eastAsia="Bliss 2 Regular" w:cs="Arial"/>
                <w:szCs w:val="24"/>
              </w:rPr>
            </w:pPr>
            <w:r>
              <w:rPr>
                <w:rFonts w:eastAsia="Bliss 2 Regular" w:cs="Arial"/>
                <w:szCs w:val="24"/>
              </w:rPr>
              <w:t>AAA</w:t>
            </w:r>
          </w:p>
        </w:tc>
        <w:tc>
          <w:tcPr>
            <w:tcW w:w="1701" w:type="dxa"/>
          </w:tcPr>
          <w:p w:rsidR="003A58D2" w:rsidP="003A58D2" w:rsidRDefault="003A58D2" w14:paraId="30246B68" w14:textId="75E39C11">
            <w:pPr>
              <w:spacing w:after="0" w:line="240" w:lineRule="auto"/>
              <w:jc w:val="center"/>
              <w:rPr>
                <w:rFonts w:eastAsia="Bliss 2 Regular" w:cs="Arial"/>
                <w:szCs w:val="24"/>
              </w:rPr>
            </w:pPr>
            <w:r>
              <w:rPr>
                <w:rFonts w:eastAsia="Bliss 2 Regular" w:cs="Arial"/>
                <w:szCs w:val="24"/>
              </w:rPr>
              <w:t>£12m - £15m</w:t>
            </w:r>
          </w:p>
        </w:tc>
        <w:tc>
          <w:tcPr>
            <w:tcW w:w="1411" w:type="dxa"/>
          </w:tcPr>
          <w:p w:rsidR="003A58D2" w:rsidP="003A58D2" w:rsidRDefault="003A58D2" w14:paraId="00393693" w14:textId="0044FA66">
            <w:pPr>
              <w:spacing w:after="0" w:line="240" w:lineRule="auto"/>
              <w:jc w:val="center"/>
              <w:rPr>
                <w:rFonts w:eastAsia="Bliss 2 Regular" w:cs="Arial"/>
                <w:szCs w:val="24"/>
              </w:rPr>
            </w:pPr>
            <w:r>
              <w:rPr>
                <w:rFonts w:eastAsia="Bliss 2 Regular" w:cs="Arial"/>
                <w:szCs w:val="24"/>
              </w:rPr>
              <w:t>liquid</w:t>
            </w:r>
          </w:p>
        </w:tc>
      </w:tr>
      <w:tr w:rsidR="003A58D2" w:rsidTr="003A58D2" w14:paraId="4A2BECE8" w14:textId="77777777">
        <w:tc>
          <w:tcPr>
            <w:tcW w:w="4110" w:type="dxa"/>
          </w:tcPr>
          <w:p w:rsidR="003A58D2" w:rsidP="003A58D2" w:rsidRDefault="003A58D2" w14:paraId="617AC9A4" w14:textId="1C5FEEE8">
            <w:pPr>
              <w:spacing w:after="0" w:line="240" w:lineRule="auto"/>
              <w:jc w:val="both"/>
            </w:pPr>
            <w:proofErr w:type="spellStart"/>
            <w:r>
              <w:t>Ultra Short</w:t>
            </w:r>
            <w:proofErr w:type="spellEnd"/>
            <w:r>
              <w:t xml:space="preserve"> Dated Bonds</w:t>
            </w:r>
          </w:p>
        </w:tc>
        <w:tc>
          <w:tcPr>
            <w:tcW w:w="1985" w:type="dxa"/>
          </w:tcPr>
          <w:p w:rsidR="003A58D2" w:rsidP="003A58D2" w:rsidRDefault="003A58D2" w14:paraId="3E968320" w14:textId="41766E49">
            <w:pPr>
              <w:spacing w:after="0" w:line="240" w:lineRule="auto"/>
              <w:jc w:val="center"/>
              <w:rPr>
                <w:rFonts w:eastAsia="Bliss 2 Regular" w:cs="Arial"/>
                <w:szCs w:val="24"/>
              </w:rPr>
            </w:pPr>
            <w:r>
              <w:rPr>
                <w:rFonts w:eastAsia="Bliss 2 Regular" w:cs="Arial"/>
                <w:szCs w:val="24"/>
              </w:rPr>
              <w:t>AAA</w:t>
            </w:r>
          </w:p>
        </w:tc>
        <w:tc>
          <w:tcPr>
            <w:tcW w:w="1701" w:type="dxa"/>
          </w:tcPr>
          <w:p w:rsidR="003A58D2" w:rsidP="003A58D2" w:rsidRDefault="003A58D2" w14:paraId="2F3147B4" w14:textId="5F1A6A0F">
            <w:pPr>
              <w:spacing w:after="0" w:line="240" w:lineRule="auto"/>
              <w:jc w:val="center"/>
              <w:rPr>
                <w:rFonts w:eastAsia="Bliss 2 Regular" w:cs="Arial"/>
                <w:szCs w:val="24"/>
              </w:rPr>
            </w:pPr>
            <w:r>
              <w:rPr>
                <w:rFonts w:eastAsia="Bliss 2 Regular" w:cs="Arial"/>
                <w:szCs w:val="24"/>
              </w:rPr>
              <w:t>£3m - £5m</w:t>
            </w:r>
          </w:p>
        </w:tc>
        <w:tc>
          <w:tcPr>
            <w:tcW w:w="1411" w:type="dxa"/>
          </w:tcPr>
          <w:p w:rsidR="003A58D2" w:rsidP="003A58D2" w:rsidRDefault="003A58D2" w14:paraId="10989F82" w14:textId="145256A0">
            <w:pPr>
              <w:spacing w:after="0" w:line="240" w:lineRule="auto"/>
              <w:jc w:val="center"/>
              <w:rPr>
                <w:rFonts w:eastAsia="Bliss 2 Regular" w:cs="Arial"/>
                <w:szCs w:val="24"/>
              </w:rPr>
            </w:pPr>
            <w:r>
              <w:rPr>
                <w:rFonts w:eastAsia="Bliss 2 Regular" w:cs="Arial"/>
                <w:szCs w:val="24"/>
              </w:rPr>
              <w:t>liquid</w:t>
            </w:r>
          </w:p>
        </w:tc>
      </w:tr>
    </w:tbl>
    <w:p w:rsidR="00CD3F0C" w:rsidP="004905FC" w:rsidRDefault="00CD3F0C" w14:paraId="333C7178" w14:textId="58DCD96E">
      <w:pPr>
        <w:spacing w:after="0" w:line="240" w:lineRule="auto"/>
        <w:jc w:val="both"/>
        <w:rPr>
          <w:rFonts w:eastAsia="Bliss 2 Regular" w:cs="Arial"/>
          <w:szCs w:val="24"/>
        </w:rPr>
      </w:pPr>
    </w:p>
    <w:p w:rsidRPr="00AD3BF8" w:rsidR="00CD3F0C" w:rsidP="00CD3F0C" w:rsidRDefault="00CD3F0C" w14:paraId="47179D03" w14:textId="77777777">
      <w:pPr>
        <w:rPr>
          <w:rFonts w:eastAsia="Bliss 2 Regular" w:cs="Arial"/>
          <w:szCs w:val="24"/>
        </w:rPr>
      </w:pPr>
      <w:r w:rsidRPr="00AD3BF8">
        <w:rPr>
          <w:rFonts w:eastAsia="Bliss 2 Regular" w:cs="Arial"/>
          <w:szCs w:val="24"/>
        </w:rPr>
        <w:br w:type="page"/>
      </w:r>
    </w:p>
    <w:p w:rsidRPr="00AD3BF8" w:rsidR="00CD3F0C" w:rsidP="00CD3F0C" w:rsidRDefault="00CD3F0C" w14:paraId="6FEF4C8F" w14:textId="3D2F29C7">
      <w:pPr>
        <w:spacing w:before="240" w:after="120" w:line="271" w:lineRule="auto"/>
        <w:ind w:left="426" w:hanging="710"/>
        <w:jc w:val="both"/>
        <w:rPr>
          <w:rStyle w:val="Heading1Char"/>
          <w:rFonts w:eastAsia="Calibri"/>
          <w:szCs w:val="28"/>
        </w:rPr>
      </w:pPr>
      <w:r w:rsidRPr="00AD3BF8">
        <w:rPr>
          <w:rStyle w:val="Heading1Char"/>
          <w:rFonts w:eastAsia="Calibri"/>
          <w:szCs w:val="28"/>
        </w:rPr>
        <w:lastRenderedPageBreak/>
        <w:t>6</w:t>
      </w:r>
      <w:r w:rsidR="003B36A4">
        <w:rPr>
          <w:rStyle w:val="Heading1Char"/>
          <w:rFonts w:eastAsia="Calibri"/>
          <w:szCs w:val="28"/>
        </w:rPr>
        <w:t>.3</w:t>
      </w:r>
      <w:r w:rsidRPr="00AD3BF8">
        <w:rPr>
          <w:rStyle w:val="Heading1Char"/>
          <w:rFonts w:eastAsia="Calibri"/>
          <w:szCs w:val="28"/>
        </w:rPr>
        <w:tab/>
        <w:t>Borrowing</w:t>
      </w:r>
    </w:p>
    <w:p w:rsidR="003863EC" w:rsidP="00CD3F0C" w:rsidRDefault="00CD3F0C" w14:paraId="5207580E" w14:textId="3280BD92">
      <w:pPr>
        <w:spacing w:line="271" w:lineRule="auto"/>
        <w:ind w:left="426"/>
        <w:jc w:val="both"/>
        <w:rPr>
          <w:rFonts w:cs="Arial"/>
          <w:szCs w:val="24"/>
        </w:rPr>
      </w:pPr>
      <w:r w:rsidRPr="00AD3BF8">
        <w:rPr>
          <w:rFonts w:cs="Arial"/>
          <w:szCs w:val="24"/>
        </w:rPr>
        <w:t xml:space="preserve">The </w:t>
      </w:r>
      <w:r w:rsidR="00672152">
        <w:rPr>
          <w:rFonts w:cs="Arial"/>
          <w:szCs w:val="24"/>
        </w:rPr>
        <w:t>C</w:t>
      </w:r>
      <w:r w:rsidRPr="00AD3BF8">
        <w:rPr>
          <w:rFonts w:cs="Arial"/>
          <w:szCs w:val="24"/>
        </w:rPr>
        <w:t xml:space="preserve">apital </w:t>
      </w:r>
      <w:r w:rsidR="00672152">
        <w:rPr>
          <w:rFonts w:cs="Arial"/>
          <w:szCs w:val="24"/>
        </w:rPr>
        <w:t>F</w:t>
      </w:r>
      <w:r w:rsidRPr="00AD3BF8">
        <w:rPr>
          <w:rFonts w:cs="Arial"/>
          <w:szCs w:val="24"/>
        </w:rPr>
        <w:t xml:space="preserve">inancing </w:t>
      </w:r>
      <w:r w:rsidR="00672152">
        <w:rPr>
          <w:rFonts w:cs="Arial"/>
          <w:szCs w:val="24"/>
        </w:rPr>
        <w:t>R</w:t>
      </w:r>
      <w:r w:rsidRPr="00AD3BF8">
        <w:rPr>
          <w:rFonts w:cs="Arial"/>
          <w:szCs w:val="24"/>
        </w:rPr>
        <w:t xml:space="preserve">equirement (CFR) for </w:t>
      </w:r>
      <w:r>
        <w:rPr>
          <w:rFonts w:cs="Arial"/>
          <w:szCs w:val="24"/>
        </w:rPr>
        <w:t>202</w:t>
      </w:r>
      <w:r w:rsidR="003863EC">
        <w:rPr>
          <w:rFonts w:cs="Arial"/>
          <w:szCs w:val="24"/>
        </w:rPr>
        <w:t>2</w:t>
      </w:r>
      <w:r>
        <w:rPr>
          <w:rFonts w:cs="Arial"/>
          <w:szCs w:val="24"/>
        </w:rPr>
        <w:t>-2</w:t>
      </w:r>
      <w:r w:rsidR="003863EC">
        <w:rPr>
          <w:rFonts w:cs="Arial"/>
          <w:szCs w:val="24"/>
        </w:rPr>
        <w:t>3</w:t>
      </w:r>
      <w:r>
        <w:rPr>
          <w:rFonts w:cs="Arial"/>
          <w:szCs w:val="24"/>
        </w:rPr>
        <w:t xml:space="preserve"> </w:t>
      </w:r>
      <w:r w:rsidRPr="00AD3BF8">
        <w:rPr>
          <w:rFonts w:cs="Arial"/>
          <w:szCs w:val="24"/>
        </w:rPr>
        <w:t>is</w:t>
      </w:r>
      <w:r>
        <w:rPr>
          <w:rFonts w:cs="Arial"/>
          <w:szCs w:val="24"/>
        </w:rPr>
        <w:t xml:space="preserve"> estimated to be</w:t>
      </w:r>
      <w:r w:rsidRPr="00AD3BF8">
        <w:rPr>
          <w:rFonts w:cs="Arial"/>
          <w:szCs w:val="24"/>
        </w:rPr>
        <w:t xml:space="preserve"> </w:t>
      </w:r>
      <w:r>
        <w:rPr>
          <w:rFonts w:cs="Arial"/>
          <w:szCs w:val="24"/>
        </w:rPr>
        <w:t>£</w:t>
      </w:r>
      <w:r w:rsidR="003863EC">
        <w:rPr>
          <w:rFonts w:cs="Arial"/>
          <w:szCs w:val="24"/>
        </w:rPr>
        <w:t>70</w:t>
      </w:r>
      <w:r w:rsidRPr="00AD3BF8">
        <w:rPr>
          <w:rFonts w:cs="Arial"/>
          <w:szCs w:val="24"/>
        </w:rPr>
        <w:t>m</w:t>
      </w:r>
      <w:r>
        <w:rPr>
          <w:rFonts w:cs="Arial"/>
          <w:szCs w:val="24"/>
        </w:rPr>
        <w:t xml:space="preserve">. </w:t>
      </w:r>
      <w:r w:rsidRPr="00AD3BF8">
        <w:rPr>
          <w:rFonts w:cs="Arial"/>
          <w:szCs w:val="24"/>
        </w:rPr>
        <w:t xml:space="preserve">The CFR denotes the underlying need to borrow for capital purposes. If the CFR is positive monies may be borrowed (external borrowing) or from internal balances on a temporary basis (internal borrowing). The balance of external and internal borrowing is generally driven by market conditions and level of reserves. The table below shows activity on borrowings </w:t>
      </w:r>
      <w:r w:rsidR="003863EC">
        <w:rPr>
          <w:rFonts w:cs="Arial"/>
          <w:szCs w:val="24"/>
        </w:rPr>
        <w:t>to 31</w:t>
      </w:r>
      <w:r w:rsidRPr="003863EC" w:rsidR="003863EC">
        <w:rPr>
          <w:rFonts w:cs="Arial"/>
          <w:szCs w:val="24"/>
          <w:vertAlign w:val="superscript"/>
        </w:rPr>
        <w:t>st</w:t>
      </w:r>
      <w:r w:rsidR="003863EC">
        <w:rPr>
          <w:rFonts w:cs="Arial"/>
          <w:szCs w:val="24"/>
        </w:rPr>
        <w:t xml:space="preserve"> October 2022</w:t>
      </w:r>
      <w:r w:rsidRPr="00AD3BF8">
        <w:rPr>
          <w:rFonts w:cs="Arial"/>
          <w:szCs w:val="24"/>
        </w:rPr>
        <w:t>.</w:t>
      </w:r>
    </w:p>
    <w:tbl>
      <w:tblPr>
        <w:tblW w:w="9213" w:type="dxa"/>
        <w:tblInd w:w="426" w:type="dxa"/>
        <w:tblLook w:val="04A0" w:firstRow="1" w:lastRow="0" w:firstColumn="1" w:lastColumn="0" w:noHBand="0" w:noVBand="1"/>
      </w:tblPr>
      <w:tblGrid>
        <w:gridCol w:w="3255"/>
        <w:gridCol w:w="1422"/>
        <w:gridCol w:w="1276"/>
        <w:gridCol w:w="1559"/>
        <w:gridCol w:w="1701"/>
      </w:tblGrid>
      <w:tr w:rsidRPr="003863EC" w:rsidR="003863EC" w:rsidTr="00672152" w14:paraId="2C555942" w14:textId="77777777">
        <w:trPr>
          <w:trHeight w:val="600"/>
        </w:trPr>
        <w:tc>
          <w:tcPr>
            <w:tcW w:w="3255" w:type="dxa"/>
            <w:tcBorders>
              <w:top w:val="single" w:color="auto" w:sz="4" w:space="0"/>
              <w:left w:val="single" w:color="auto" w:sz="4" w:space="0"/>
              <w:bottom w:val="nil"/>
              <w:right w:val="nil"/>
            </w:tcBorders>
            <w:shd w:val="clear" w:color="auto" w:fill="B4C6E7" w:themeFill="accent1" w:themeFillTint="66"/>
            <w:noWrap/>
            <w:vAlign w:val="bottom"/>
            <w:hideMark/>
          </w:tcPr>
          <w:p w:rsidRPr="003863EC" w:rsidR="003863EC" w:rsidP="003863EC" w:rsidRDefault="003863EC" w14:paraId="7EC9E5D4" w14:textId="77777777">
            <w:pPr>
              <w:spacing w:after="0" w:line="240" w:lineRule="auto"/>
              <w:rPr>
                <w:rFonts w:ascii="Times New Roman" w:hAnsi="Times New Roman" w:eastAsia="Times New Roman"/>
                <w:sz w:val="20"/>
                <w:szCs w:val="24"/>
                <w:lang w:eastAsia="en-GB"/>
              </w:rPr>
            </w:pPr>
          </w:p>
        </w:tc>
        <w:tc>
          <w:tcPr>
            <w:tcW w:w="1422" w:type="dxa"/>
            <w:tcBorders>
              <w:top w:val="single" w:color="auto" w:sz="4" w:space="0"/>
              <w:left w:val="single" w:color="auto" w:sz="4" w:space="0"/>
              <w:bottom w:val="nil"/>
              <w:right w:val="single" w:color="auto" w:sz="4" w:space="0"/>
            </w:tcBorders>
            <w:shd w:val="clear" w:color="auto" w:fill="B4C6E7" w:themeFill="accent1" w:themeFillTint="66"/>
            <w:vAlign w:val="bottom"/>
            <w:hideMark/>
          </w:tcPr>
          <w:p w:rsidR="003A58D2" w:rsidP="003863EC" w:rsidRDefault="003863EC" w14:paraId="3A512FC9" w14:textId="77777777">
            <w:pPr>
              <w:spacing w:after="0" w:line="240" w:lineRule="auto"/>
              <w:jc w:val="center"/>
              <w:rPr>
                <w:rFonts w:eastAsia="Times New Roman" w:cs="Arial"/>
                <w:b/>
                <w:bCs/>
                <w:sz w:val="22"/>
                <w:u w:val="single"/>
                <w:lang w:eastAsia="en-GB"/>
              </w:rPr>
            </w:pPr>
            <w:r w:rsidRPr="003863EC">
              <w:rPr>
                <w:rFonts w:eastAsia="Times New Roman" w:cs="Arial"/>
                <w:b/>
                <w:bCs/>
                <w:sz w:val="22"/>
                <w:u w:val="single"/>
                <w:lang w:eastAsia="en-GB"/>
              </w:rPr>
              <w:t>Position</w:t>
            </w:r>
          </w:p>
          <w:p w:rsidRPr="003863EC" w:rsidR="003863EC" w:rsidP="003863EC" w:rsidRDefault="003863EC" w14:paraId="2282E091" w14:textId="57A30F01">
            <w:pPr>
              <w:spacing w:after="0" w:line="240" w:lineRule="auto"/>
              <w:jc w:val="center"/>
              <w:rPr>
                <w:rFonts w:eastAsia="Times New Roman" w:cs="Arial"/>
                <w:b/>
                <w:bCs/>
                <w:sz w:val="22"/>
                <w:u w:val="single"/>
                <w:lang w:eastAsia="en-GB"/>
              </w:rPr>
            </w:pPr>
            <w:r w:rsidRPr="003863EC">
              <w:rPr>
                <w:rFonts w:eastAsia="Times New Roman" w:cs="Arial"/>
                <w:b/>
                <w:bCs/>
                <w:sz w:val="22"/>
                <w:u w:val="single"/>
                <w:lang w:eastAsia="en-GB"/>
              </w:rPr>
              <w:t>@ 01-04-22</w:t>
            </w:r>
          </w:p>
        </w:tc>
        <w:tc>
          <w:tcPr>
            <w:tcW w:w="1276" w:type="dxa"/>
            <w:tcBorders>
              <w:top w:val="single" w:color="auto" w:sz="4" w:space="0"/>
              <w:left w:val="nil"/>
              <w:bottom w:val="nil"/>
              <w:right w:val="single" w:color="auto" w:sz="4" w:space="0"/>
            </w:tcBorders>
            <w:shd w:val="clear" w:color="auto" w:fill="B4C6E7" w:themeFill="accent1" w:themeFillTint="66"/>
            <w:vAlign w:val="bottom"/>
            <w:hideMark/>
          </w:tcPr>
          <w:p w:rsidRPr="003863EC" w:rsidR="003863EC" w:rsidP="003863EC" w:rsidRDefault="003863EC" w14:paraId="11EDD98B" w14:textId="77777777">
            <w:pPr>
              <w:spacing w:after="0" w:line="240" w:lineRule="auto"/>
              <w:jc w:val="center"/>
              <w:rPr>
                <w:rFonts w:eastAsia="Times New Roman" w:cs="Arial"/>
                <w:b/>
                <w:bCs/>
                <w:sz w:val="22"/>
                <w:u w:val="single"/>
                <w:lang w:eastAsia="en-GB"/>
              </w:rPr>
            </w:pPr>
            <w:r w:rsidRPr="003863EC">
              <w:rPr>
                <w:rFonts w:eastAsia="Times New Roman" w:cs="Arial"/>
                <w:b/>
                <w:bCs/>
                <w:sz w:val="22"/>
                <w:u w:val="single"/>
                <w:lang w:eastAsia="en-GB"/>
              </w:rPr>
              <w:t>Loans taken</w:t>
            </w:r>
          </w:p>
        </w:tc>
        <w:tc>
          <w:tcPr>
            <w:tcW w:w="1559" w:type="dxa"/>
            <w:tcBorders>
              <w:top w:val="single" w:color="auto" w:sz="4" w:space="0"/>
              <w:left w:val="nil"/>
              <w:bottom w:val="nil"/>
              <w:right w:val="single" w:color="auto" w:sz="4" w:space="0"/>
            </w:tcBorders>
            <w:shd w:val="clear" w:color="auto" w:fill="B4C6E7" w:themeFill="accent1" w:themeFillTint="66"/>
            <w:vAlign w:val="bottom"/>
            <w:hideMark/>
          </w:tcPr>
          <w:p w:rsidRPr="003863EC" w:rsidR="003863EC" w:rsidP="003863EC" w:rsidRDefault="003863EC" w14:paraId="6CBF6C2E" w14:textId="77777777">
            <w:pPr>
              <w:spacing w:after="0" w:line="240" w:lineRule="auto"/>
              <w:jc w:val="center"/>
              <w:rPr>
                <w:rFonts w:eastAsia="Times New Roman" w:cs="Arial"/>
                <w:b/>
                <w:bCs/>
                <w:sz w:val="22"/>
                <w:u w:val="single"/>
                <w:lang w:eastAsia="en-GB"/>
              </w:rPr>
            </w:pPr>
            <w:r w:rsidRPr="003863EC">
              <w:rPr>
                <w:rFonts w:eastAsia="Times New Roman" w:cs="Arial"/>
                <w:b/>
                <w:bCs/>
                <w:sz w:val="22"/>
                <w:u w:val="single"/>
                <w:lang w:eastAsia="en-GB"/>
              </w:rPr>
              <w:t>Loans repaid</w:t>
            </w:r>
          </w:p>
        </w:tc>
        <w:tc>
          <w:tcPr>
            <w:tcW w:w="1701" w:type="dxa"/>
            <w:tcBorders>
              <w:top w:val="single" w:color="auto" w:sz="4" w:space="0"/>
              <w:left w:val="nil"/>
              <w:bottom w:val="nil"/>
              <w:right w:val="single" w:color="auto" w:sz="4" w:space="0"/>
            </w:tcBorders>
            <w:shd w:val="clear" w:color="auto" w:fill="B4C6E7" w:themeFill="accent1" w:themeFillTint="66"/>
            <w:vAlign w:val="bottom"/>
            <w:hideMark/>
          </w:tcPr>
          <w:p w:rsidR="003A58D2" w:rsidP="003863EC" w:rsidRDefault="003863EC" w14:paraId="545DA81D" w14:textId="77777777">
            <w:pPr>
              <w:spacing w:after="0" w:line="240" w:lineRule="auto"/>
              <w:jc w:val="center"/>
              <w:rPr>
                <w:rFonts w:eastAsia="Times New Roman" w:cs="Arial"/>
                <w:b/>
                <w:bCs/>
                <w:sz w:val="22"/>
                <w:u w:val="single"/>
                <w:lang w:eastAsia="en-GB"/>
              </w:rPr>
            </w:pPr>
            <w:r w:rsidRPr="003863EC">
              <w:rPr>
                <w:rFonts w:eastAsia="Times New Roman" w:cs="Arial"/>
                <w:b/>
                <w:bCs/>
                <w:sz w:val="22"/>
                <w:u w:val="single"/>
                <w:lang w:eastAsia="en-GB"/>
              </w:rPr>
              <w:t xml:space="preserve">Position </w:t>
            </w:r>
          </w:p>
          <w:p w:rsidRPr="003863EC" w:rsidR="003863EC" w:rsidP="003863EC" w:rsidRDefault="003863EC" w14:paraId="06A613E1" w14:textId="794B2F2C">
            <w:pPr>
              <w:spacing w:after="0" w:line="240" w:lineRule="auto"/>
              <w:jc w:val="center"/>
              <w:rPr>
                <w:rFonts w:eastAsia="Times New Roman" w:cs="Arial"/>
                <w:b/>
                <w:bCs/>
                <w:sz w:val="22"/>
                <w:u w:val="single"/>
                <w:lang w:eastAsia="en-GB"/>
              </w:rPr>
            </w:pPr>
            <w:r w:rsidRPr="003863EC">
              <w:rPr>
                <w:rFonts w:eastAsia="Times New Roman" w:cs="Arial"/>
                <w:b/>
                <w:bCs/>
                <w:sz w:val="22"/>
                <w:u w:val="single"/>
                <w:lang w:eastAsia="en-GB"/>
              </w:rPr>
              <w:t>@ 31-10-22</w:t>
            </w:r>
          </w:p>
        </w:tc>
      </w:tr>
      <w:tr w:rsidRPr="003863EC" w:rsidR="003863EC" w:rsidTr="00672152" w14:paraId="0F264E24" w14:textId="77777777">
        <w:trPr>
          <w:trHeight w:val="300"/>
        </w:trPr>
        <w:tc>
          <w:tcPr>
            <w:tcW w:w="3255" w:type="dxa"/>
            <w:tcBorders>
              <w:top w:val="nil"/>
              <w:left w:val="single" w:color="auto" w:sz="4" w:space="0"/>
              <w:bottom w:val="single" w:color="auto" w:sz="4" w:space="0"/>
              <w:right w:val="nil"/>
            </w:tcBorders>
            <w:shd w:val="clear" w:color="auto" w:fill="B4C6E7" w:themeFill="accent1" w:themeFillTint="66"/>
            <w:noWrap/>
            <w:vAlign w:val="bottom"/>
            <w:hideMark/>
          </w:tcPr>
          <w:p w:rsidRPr="003863EC" w:rsidR="003863EC" w:rsidP="003863EC" w:rsidRDefault="003863EC" w14:paraId="614E0D7E" w14:textId="77777777">
            <w:pPr>
              <w:spacing w:after="0" w:line="240" w:lineRule="auto"/>
              <w:jc w:val="center"/>
              <w:rPr>
                <w:rFonts w:eastAsia="Times New Roman" w:cs="Arial"/>
                <w:b/>
                <w:bCs/>
                <w:sz w:val="22"/>
                <w:u w:val="single"/>
                <w:lang w:eastAsia="en-GB"/>
              </w:rPr>
            </w:pPr>
          </w:p>
        </w:tc>
        <w:tc>
          <w:tcPr>
            <w:tcW w:w="1422" w:type="dxa"/>
            <w:tcBorders>
              <w:top w:val="nil"/>
              <w:left w:val="single" w:color="auto" w:sz="4" w:space="0"/>
              <w:bottom w:val="single" w:color="auto" w:sz="4" w:space="0"/>
              <w:right w:val="single" w:color="auto" w:sz="4" w:space="0"/>
            </w:tcBorders>
            <w:shd w:val="clear" w:color="auto" w:fill="B4C6E7" w:themeFill="accent1" w:themeFillTint="66"/>
            <w:noWrap/>
            <w:vAlign w:val="bottom"/>
            <w:hideMark/>
          </w:tcPr>
          <w:p w:rsidRPr="003863EC" w:rsidR="003863EC" w:rsidP="003863EC" w:rsidRDefault="003863EC" w14:paraId="0A6896C9" w14:textId="77777777">
            <w:pPr>
              <w:spacing w:after="0" w:line="240" w:lineRule="auto"/>
              <w:jc w:val="center"/>
              <w:rPr>
                <w:rFonts w:eastAsia="Times New Roman" w:cs="Arial"/>
                <w:b/>
                <w:bCs/>
                <w:sz w:val="22"/>
                <w:lang w:eastAsia="en-GB"/>
              </w:rPr>
            </w:pPr>
            <w:r w:rsidRPr="003863EC">
              <w:rPr>
                <w:rFonts w:eastAsia="Times New Roman" w:cs="Arial"/>
                <w:b/>
                <w:bCs/>
                <w:sz w:val="22"/>
                <w:lang w:eastAsia="en-GB"/>
              </w:rPr>
              <w:t>£m</w:t>
            </w:r>
          </w:p>
        </w:tc>
        <w:tc>
          <w:tcPr>
            <w:tcW w:w="1276" w:type="dxa"/>
            <w:tcBorders>
              <w:top w:val="nil"/>
              <w:left w:val="nil"/>
              <w:bottom w:val="single" w:color="auto" w:sz="4" w:space="0"/>
              <w:right w:val="single" w:color="auto" w:sz="4" w:space="0"/>
            </w:tcBorders>
            <w:shd w:val="clear" w:color="auto" w:fill="B4C6E7" w:themeFill="accent1" w:themeFillTint="66"/>
            <w:noWrap/>
            <w:vAlign w:val="bottom"/>
            <w:hideMark/>
          </w:tcPr>
          <w:p w:rsidRPr="003863EC" w:rsidR="003863EC" w:rsidP="003863EC" w:rsidRDefault="003863EC" w14:paraId="696D41BB" w14:textId="77777777">
            <w:pPr>
              <w:spacing w:after="0" w:line="240" w:lineRule="auto"/>
              <w:jc w:val="center"/>
              <w:rPr>
                <w:rFonts w:eastAsia="Times New Roman" w:cs="Arial"/>
                <w:b/>
                <w:bCs/>
                <w:sz w:val="22"/>
                <w:lang w:eastAsia="en-GB"/>
              </w:rPr>
            </w:pPr>
            <w:r w:rsidRPr="003863EC">
              <w:rPr>
                <w:rFonts w:eastAsia="Times New Roman" w:cs="Arial"/>
                <w:b/>
                <w:bCs/>
                <w:sz w:val="22"/>
                <w:lang w:eastAsia="en-GB"/>
              </w:rPr>
              <w:t>£m</w:t>
            </w:r>
          </w:p>
        </w:tc>
        <w:tc>
          <w:tcPr>
            <w:tcW w:w="1559" w:type="dxa"/>
            <w:tcBorders>
              <w:top w:val="nil"/>
              <w:left w:val="nil"/>
              <w:bottom w:val="single" w:color="auto" w:sz="4" w:space="0"/>
              <w:right w:val="single" w:color="auto" w:sz="4" w:space="0"/>
            </w:tcBorders>
            <w:shd w:val="clear" w:color="auto" w:fill="B4C6E7" w:themeFill="accent1" w:themeFillTint="66"/>
            <w:noWrap/>
            <w:vAlign w:val="bottom"/>
            <w:hideMark/>
          </w:tcPr>
          <w:p w:rsidRPr="003863EC" w:rsidR="003863EC" w:rsidP="003863EC" w:rsidRDefault="003863EC" w14:paraId="1F7FA34A" w14:textId="77777777">
            <w:pPr>
              <w:spacing w:after="0" w:line="240" w:lineRule="auto"/>
              <w:jc w:val="center"/>
              <w:rPr>
                <w:rFonts w:eastAsia="Times New Roman" w:cs="Arial"/>
                <w:b/>
                <w:bCs/>
                <w:sz w:val="22"/>
                <w:lang w:eastAsia="en-GB"/>
              </w:rPr>
            </w:pPr>
            <w:r w:rsidRPr="003863EC">
              <w:rPr>
                <w:rFonts w:eastAsia="Times New Roman" w:cs="Arial"/>
                <w:b/>
                <w:bCs/>
                <w:sz w:val="22"/>
                <w:lang w:eastAsia="en-GB"/>
              </w:rPr>
              <w:t>£m</w:t>
            </w:r>
          </w:p>
        </w:tc>
        <w:tc>
          <w:tcPr>
            <w:tcW w:w="1701" w:type="dxa"/>
            <w:tcBorders>
              <w:top w:val="nil"/>
              <w:left w:val="nil"/>
              <w:bottom w:val="single" w:color="auto" w:sz="4" w:space="0"/>
              <w:right w:val="single" w:color="auto" w:sz="4" w:space="0"/>
            </w:tcBorders>
            <w:shd w:val="clear" w:color="auto" w:fill="B4C6E7" w:themeFill="accent1" w:themeFillTint="66"/>
            <w:noWrap/>
            <w:vAlign w:val="bottom"/>
            <w:hideMark/>
          </w:tcPr>
          <w:p w:rsidRPr="003863EC" w:rsidR="003863EC" w:rsidP="003863EC" w:rsidRDefault="003863EC" w14:paraId="7EA80720" w14:textId="77777777">
            <w:pPr>
              <w:spacing w:after="0" w:line="240" w:lineRule="auto"/>
              <w:jc w:val="center"/>
              <w:rPr>
                <w:rFonts w:eastAsia="Times New Roman" w:cs="Arial"/>
                <w:b/>
                <w:bCs/>
                <w:sz w:val="22"/>
                <w:lang w:eastAsia="en-GB"/>
              </w:rPr>
            </w:pPr>
            <w:r w:rsidRPr="003863EC">
              <w:rPr>
                <w:rFonts w:eastAsia="Times New Roman" w:cs="Arial"/>
                <w:b/>
                <w:bCs/>
                <w:sz w:val="22"/>
                <w:lang w:eastAsia="en-GB"/>
              </w:rPr>
              <w:t>£m</w:t>
            </w:r>
          </w:p>
        </w:tc>
      </w:tr>
      <w:tr w:rsidRPr="003863EC" w:rsidR="003863EC" w:rsidTr="00EA4B06" w14:paraId="4A875DD4" w14:textId="77777777">
        <w:trPr>
          <w:trHeight w:val="300"/>
        </w:trPr>
        <w:tc>
          <w:tcPr>
            <w:tcW w:w="3255" w:type="dxa"/>
            <w:tcBorders>
              <w:top w:val="single" w:color="auto" w:sz="4" w:space="0"/>
              <w:left w:val="single" w:color="auto" w:sz="4" w:space="0"/>
              <w:bottom w:val="nil"/>
              <w:right w:val="nil"/>
            </w:tcBorders>
            <w:shd w:val="clear" w:color="auto" w:fill="auto"/>
            <w:noWrap/>
            <w:vAlign w:val="bottom"/>
            <w:hideMark/>
          </w:tcPr>
          <w:p w:rsidRPr="003863EC" w:rsidR="003863EC" w:rsidP="003863EC" w:rsidRDefault="003863EC" w14:paraId="4B9063C4" w14:textId="77777777">
            <w:pPr>
              <w:spacing w:after="0" w:line="240" w:lineRule="auto"/>
              <w:rPr>
                <w:rFonts w:eastAsia="Times New Roman" w:cs="Arial"/>
                <w:b/>
                <w:bCs/>
                <w:sz w:val="22"/>
                <w:u w:val="single"/>
                <w:lang w:eastAsia="en-GB"/>
              </w:rPr>
            </w:pPr>
            <w:r w:rsidRPr="003863EC">
              <w:rPr>
                <w:rFonts w:eastAsia="Times New Roman" w:cs="Arial"/>
                <w:b/>
                <w:bCs/>
                <w:sz w:val="22"/>
                <w:u w:val="single"/>
                <w:lang w:eastAsia="en-GB"/>
              </w:rPr>
              <w:t>Long Term Borrowing</w:t>
            </w:r>
          </w:p>
        </w:tc>
        <w:tc>
          <w:tcPr>
            <w:tcW w:w="1422" w:type="dxa"/>
            <w:tcBorders>
              <w:top w:val="single" w:color="auto" w:sz="4" w:space="0"/>
              <w:left w:val="single" w:color="auto" w:sz="4" w:space="0"/>
              <w:bottom w:val="nil"/>
              <w:right w:val="single" w:color="auto" w:sz="4" w:space="0"/>
            </w:tcBorders>
            <w:shd w:val="clear" w:color="auto" w:fill="auto"/>
            <w:noWrap/>
            <w:vAlign w:val="bottom"/>
            <w:hideMark/>
          </w:tcPr>
          <w:p w:rsidRPr="003863EC" w:rsidR="003863EC" w:rsidP="003863EC" w:rsidRDefault="003863EC" w14:paraId="7D5021E1" w14:textId="77777777">
            <w:pPr>
              <w:spacing w:after="0" w:line="240" w:lineRule="auto"/>
              <w:jc w:val="right"/>
              <w:rPr>
                <w:rFonts w:eastAsia="Times New Roman" w:cs="Arial"/>
                <w:b/>
                <w:bCs/>
                <w:sz w:val="22"/>
                <w:lang w:eastAsia="en-GB"/>
              </w:rPr>
            </w:pPr>
            <w:r w:rsidRPr="003863EC">
              <w:rPr>
                <w:rFonts w:eastAsia="Times New Roman" w:cs="Arial"/>
                <w:b/>
                <w:bCs/>
                <w:sz w:val="22"/>
                <w:lang w:eastAsia="en-GB"/>
              </w:rPr>
              <w:t> </w:t>
            </w:r>
          </w:p>
        </w:tc>
        <w:tc>
          <w:tcPr>
            <w:tcW w:w="1276" w:type="dxa"/>
            <w:tcBorders>
              <w:top w:val="single" w:color="auto" w:sz="4" w:space="0"/>
              <w:left w:val="nil"/>
              <w:bottom w:val="nil"/>
              <w:right w:val="single" w:color="auto" w:sz="4" w:space="0"/>
            </w:tcBorders>
            <w:shd w:val="clear" w:color="auto" w:fill="auto"/>
            <w:noWrap/>
            <w:vAlign w:val="bottom"/>
            <w:hideMark/>
          </w:tcPr>
          <w:p w:rsidRPr="003863EC" w:rsidR="003863EC" w:rsidP="003863EC" w:rsidRDefault="003863EC" w14:paraId="0630A01D" w14:textId="77777777">
            <w:pPr>
              <w:spacing w:after="0" w:line="240" w:lineRule="auto"/>
              <w:jc w:val="right"/>
              <w:rPr>
                <w:rFonts w:eastAsia="Times New Roman" w:cs="Arial"/>
                <w:b/>
                <w:bCs/>
                <w:sz w:val="22"/>
                <w:lang w:eastAsia="en-GB"/>
              </w:rPr>
            </w:pPr>
            <w:r w:rsidRPr="003863EC">
              <w:rPr>
                <w:rFonts w:eastAsia="Times New Roman" w:cs="Arial"/>
                <w:b/>
                <w:bCs/>
                <w:sz w:val="22"/>
                <w:lang w:eastAsia="en-GB"/>
              </w:rPr>
              <w:t> </w:t>
            </w:r>
          </w:p>
        </w:tc>
        <w:tc>
          <w:tcPr>
            <w:tcW w:w="1559" w:type="dxa"/>
            <w:tcBorders>
              <w:top w:val="single" w:color="auto" w:sz="4" w:space="0"/>
              <w:left w:val="nil"/>
              <w:bottom w:val="nil"/>
              <w:right w:val="single" w:color="auto" w:sz="4" w:space="0"/>
            </w:tcBorders>
            <w:shd w:val="clear" w:color="auto" w:fill="auto"/>
            <w:noWrap/>
            <w:vAlign w:val="bottom"/>
            <w:hideMark/>
          </w:tcPr>
          <w:p w:rsidRPr="003863EC" w:rsidR="003863EC" w:rsidP="003863EC" w:rsidRDefault="003863EC" w14:paraId="127B3741" w14:textId="77777777">
            <w:pPr>
              <w:spacing w:after="0" w:line="240" w:lineRule="auto"/>
              <w:jc w:val="right"/>
              <w:rPr>
                <w:rFonts w:eastAsia="Times New Roman" w:cs="Arial"/>
                <w:b/>
                <w:bCs/>
                <w:sz w:val="22"/>
                <w:lang w:eastAsia="en-GB"/>
              </w:rPr>
            </w:pPr>
            <w:r w:rsidRPr="003863EC">
              <w:rPr>
                <w:rFonts w:eastAsia="Times New Roman" w:cs="Arial"/>
                <w:b/>
                <w:bCs/>
                <w:sz w:val="22"/>
                <w:lang w:eastAsia="en-GB"/>
              </w:rPr>
              <w:t> </w:t>
            </w:r>
          </w:p>
        </w:tc>
        <w:tc>
          <w:tcPr>
            <w:tcW w:w="1701" w:type="dxa"/>
            <w:tcBorders>
              <w:top w:val="single" w:color="auto" w:sz="4" w:space="0"/>
              <w:left w:val="nil"/>
              <w:bottom w:val="nil"/>
              <w:right w:val="single" w:color="auto" w:sz="4" w:space="0"/>
            </w:tcBorders>
            <w:shd w:val="clear" w:color="auto" w:fill="auto"/>
            <w:noWrap/>
            <w:vAlign w:val="bottom"/>
            <w:hideMark/>
          </w:tcPr>
          <w:p w:rsidRPr="003863EC" w:rsidR="003863EC" w:rsidP="003863EC" w:rsidRDefault="003863EC" w14:paraId="1C036D5E" w14:textId="77777777">
            <w:pPr>
              <w:spacing w:after="0" w:line="240" w:lineRule="auto"/>
              <w:jc w:val="right"/>
              <w:rPr>
                <w:rFonts w:eastAsia="Times New Roman" w:cs="Arial"/>
                <w:b/>
                <w:bCs/>
                <w:sz w:val="22"/>
                <w:lang w:eastAsia="en-GB"/>
              </w:rPr>
            </w:pPr>
            <w:r w:rsidRPr="003863EC">
              <w:rPr>
                <w:rFonts w:eastAsia="Times New Roman" w:cs="Arial"/>
                <w:b/>
                <w:bCs/>
                <w:sz w:val="22"/>
                <w:lang w:eastAsia="en-GB"/>
              </w:rPr>
              <w:t> </w:t>
            </w:r>
          </w:p>
        </w:tc>
      </w:tr>
      <w:tr w:rsidRPr="003863EC" w:rsidR="003863EC" w:rsidTr="00EA4B06" w14:paraId="6B1DA022" w14:textId="77777777">
        <w:trPr>
          <w:trHeight w:val="285"/>
        </w:trPr>
        <w:tc>
          <w:tcPr>
            <w:tcW w:w="3255" w:type="dxa"/>
            <w:tcBorders>
              <w:top w:val="nil"/>
              <w:left w:val="single" w:color="auto" w:sz="4" w:space="0"/>
              <w:bottom w:val="nil"/>
              <w:right w:val="nil"/>
            </w:tcBorders>
            <w:shd w:val="clear" w:color="auto" w:fill="auto"/>
            <w:noWrap/>
            <w:vAlign w:val="bottom"/>
            <w:hideMark/>
          </w:tcPr>
          <w:p w:rsidRPr="003863EC" w:rsidR="003863EC" w:rsidP="003863EC" w:rsidRDefault="003863EC" w14:paraId="46276E13" w14:textId="77777777">
            <w:pPr>
              <w:spacing w:after="0" w:line="240" w:lineRule="auto"/>
              <w:rPr>
                <w:rFonts w:eastAsia="Times New Roman" w:cs="Arial"/>
                <w:sz w:val="22"/>
                <w:lang w:eastAsia="en-GB"/>
              </w:rPr>
            </w:pPr>
            <w:r w:rsidRPr="003863EC">
              <w:rPr>
                <w:rFonts w:eastAsia="Times New Roman" w:cs="Arial"/>
                <w:sz w:val="22"/>
                <w:lang w:eastAsia="en-GB"/>
              </w:rPr>
              <w:t>PWLB</w:t>
            </w:r>
          </w:p>
        </w:tc>
        <w:tc>
          <w:tcPr>
            <w:tcW w:w="1422" w:type="dxa"/>
            <w:tcBorders>
              <w:top w:val="nil"/>
              <w:left w:val="single" w:color="auto" w:sz="4" w:space="0"/>
              <w:bottom w:val="nil"/>
              <w:right w:val="single" w:color="auto" w:sz="4" w:space="0"/>
            </w:tcBorders>
            <w:shd w:val="clear" w:color="auto" w:fill="auto"/>
            <w:noWrap/>
            <w:vAlign w:val="bottom"/>
            <w:hideMark/>
          </w:tcPr>
          <w:p w:rsidRPr="003863EC" w:rsidR="003863EC" w:rsidP="003863EC" w:rsidRDefault="003863EC" w14:paraId="71B6A37E" w14:textId="77777777">
            <w:pPr>
              <w:spacing w:after="0" w:line="240" w:lineRule="auto"/>
              <w:jc w:val="right"/>
              <w:rPr>
                <w:rFonts w:eastAsia="Times New Roman" w:cs="Arial"/>
                <w:sz w:val="22"/>
                <w:lang w:eastAsia="en-GB"/>
              </w:rPr>
            </w:pPr>
            <w:r w:rsidRPr="003863EC">
              <w:rPr>
                <w:rFonts w:eastAsia="Times New Roman" w:cs="Arial"/>
                <w:sz w:val="22"/>
                <w:lang w:eastAsia="en-GB"/>
              </w:rPr>
              <w:t>56.870</w:t>
            </w:r>
          </w:p>
        </w:tc>
        <w:tc>
          <w:tcPr>
            <w:tcW w:w="1276" w:type="dxa"/>
            <w:tcBorders>
              <w:top w:val="nil"/>
              <w:left w:val="nil"/>
              <w:bottom w:val="nil"/>
              <w:right w:val="single" w:color="auto" w:sz="4" w:space="0"/>
            </w:tcBorders>
            <w:shd w:val="clear" w:color="auto" w:fill="auto"/>
            <w:noWrap/>
            <w:vAlign w:val="bottom"/>
            <w:hideMark/>
          </w:tcPr>
          <w:p w:rsidRPr="003863EC" w:rsidR="003863EC" w:rsidP="003863EC" w:rsidRDefault="003863EC" w14:paraId="06AB1BC0" w14:textId="77777777">
            <w:pPr>
              <w:spacing w:after="0" w:line="240" w:lineRule="auto"/>
              <w:jc w:val="right"/>
              <w:rPr>
                <w:rFonts w:eastAsia="Times New Roman" w:cs="Arial"/>
                <w:sz w:val="22"/>
                <w:lang w:eastAsia="en-GB"/>
              </w:rPr>
            </w:pPr>
            <w:r w:rsidRPr="003863EC">
              <w:rPr>
                <w:rFonts w:eastAsia="Times New Roman" w:cs="Arial"/>
                <w:sz w:val="22"/>
                <w:lang w:eastAsia="en-GB"/>
              </w:rPr>
              <w:t>0.000</w:t>
            </w:r>
          </w:p>
        </w:tc>
        <w:tc>
          <w:tcPr>
            <w:tcW w:w="1559" w:type="dxa"/>
            <w:tcBorders>
              <w:top w:val="nil"/>
              <w:left w:val="nil"/>
              <w:bottom w:val="nil"/>
              <w:right w:val="single" w:color="auto" w:sz="4" w:space="0"/>
            </w:tcBorders>
            <w:shd w:val="clear" w:color="auto" w:fill="auto"/>
            <w:noWrap/>
            <w:vAlign w:val="bottom"/>
            <w:hideMark/>
          </w:tcPr>
          <w:p w:rsidRPr="003863EC" w:rsidR="003863EC" w:rsidP="003863EC" w:rsidRDefault="003863EC" w14:paraId="6D545BB4" w14:textId="77777777">
            <w:pPr>
              <w:spacing w:after="0" w:line="240" w:lineRule="auto"/>
              <w:jc w:val="right"/>
              <w:rPr>
                <w:rFonts w:eastAsia="Times New Roman" w:cs="Arial"/>
                <w:sz w:val="22"/>
                <w:lang w:eastAsia="en-GB"/>
              </w:rPr>
            </w:pPr>
            <w:r w:rsidRPr="003863EC">
              <w:rPr>
                <w:rFonts w:eastAsia="Times New Roman" w:cs="Arial"/>
                <w:color w:val="FF0000"/>
                <w:sz w:val="22"/>
                <w:lang w:eastAsia="en-GB"/>
              </w:rPr>
              <w:t xml:space="preserve">(0.549) </w:t>
            </w:r>
          </w:p>
        </w:tc>
        <w:tc>
          <w:tcPr>
            <w:tcW w:w="1701" w:type="dxa"/>
            <w:tcBorders>
              <w:top w:val="nil"/>
              <w:left w:val="nil"/>
              <w:bottom w:val="nil"/>
              <w:right w:val="single" w:color="auto" w:sz="4" w:space="0"/>
            </w:tcBorders>
            <w:shd w:val="clear" w:color="auto" w:fill="auto"/>
            <w:noWrap/>
            <w:vAlign w:val="bottom"/>
            <w:hideMark/>
          </w:tcPr>
          <w:p w:rsidRPr="003863EC" w:rsidR="003863EC" w:rsidP="003863EC" w:rsidRDefault="003863EC" w14:paraId="584F091E" w14:textId="77777777">
            <w:pPr>
              <w:spacing w:after="0" w:line="240" w:lineRule="auto"/>
              <w:jc w:val="right"/>
              <w:rPr>
                <w:rFonts w:eastAsia="Times New Roman" w:cs="Arial"/>
                <w:sz w:val="22"/>
                <w:lang w:eastAsia="en-GB"/>
              </w:rPr>
            </w:pPr>
            <w:r w:rsidRPr="003863EC">
              <w:rPr>
                <w:rFonts w:eastAsia="Times New Roman" w:cs="Arial"/>
                <w:sz w:val="22"/>
                <w:lang w:eastAsia="en-GB"/>
              </w:rPr>
              <w:t>56.321</w:t>
            </w:r>
          </w:p>
        </w:tc>
      </w:tr>
      <w:tr w:rsidRPr="003863EC" w:rsidR="003863EC" w:rsidTr="00EA4B06" w14:paraId="0D788751" w14:textId="77777777">
        <w:trPr>
          <w:trHeight w:val="285"/>
        </w:trPr>
        <w:tc>
          <w:tcPr>
            <w:tcW w:w="3255" w:type="dxa"/>
            <w:tcBorders>
              <w:top w:val="nil"/>
              <w:left w:val="single" w:color="auto" w:sz="4" w:space="0"/>
              <w:bottom w:val="nil"/>
              <w:right w:val="nil"/>
            </w:tcBorders>
            <w:shd w:val="clear" w:color="auto" w:fill="auto"/>
            <w:noWrap/>
            <w:vAlign w:val="bottom"/>
            <w:hideMark/>
          </w:tcPr>
          <w:p w:rsidRPr="003863EC" w:rsidR="003863EC" w:rsidP="003863EC" w:rsidRDefault="003863EC" w14:paraId="6A952931" w14:textId="77777777">
            <w:pPr>
              <w:spacing w:after="0" w:line="240" w:lineRule="auto"/>
              <w:rPr>
                <w:rFonts w:eastAsia="Times New Roman" w:cs="Arial"/>
                <w:sz w:val="22"/>
                <w:lang w:eastAsia="en-GB"/>
              </w:rPr>
            </w:pPr>
            <w:r w:rsidRPr="003863EC">
              <w:rPr>
                <w:rFonts w:eastAsia="Times New Roman" w:cs="Arial"/>
                <w:sz w:val="22"/>
                <w:lang w:eastAsia="en-GB"/>
              </w:rPr>
              <w:t>LOBO</w:t>
            </w:r>
          </w:p>
        </w:tc>
        <w:tc>
          <w:tcPr>
            <w:tcW w:w="1422" w:type="dxa"/>
            <w:tcBorders>
              <w:top w:val="nil"/>
              <w:left w:val="single" w:color="auto" w:sz="4" w:space="0"/>
              <w:bottom w:val="nil"/>
              <w:right w:val="single" w:color="auto" w:sz="4" w:space="0"/>
            </w:tcBorders>
            <w:shd w:val="clear" w:color="auto" w:fill="auto"/>
            <w:noWrap/>
            <w:vAlign w:val="bottom"/>
            <w:hideMark/>
          </w:tcPr>
          <w:p w:rsidRPr="003863EC" w:rsidR="003863EC" w:rsidP="003863EC" w:rsidRDefault="003863EC" w14:paraId="775A2BEB" w14:textId="77777777">
            <w:pPr>
              <w:spacing w:after="0" w:line="240" w:lineRule="auto"/>
              <w:jc w:val="right"/>
              <w:rPr>
                <w:rFonts w:eastAsia="Times New Roman" w:cs="Arial"/>
                <w:sz w:val="22"/>
                <w:lang w:eastAsia="en-GB"/>
              </w:rPr>
            </w:pPr>
            <w:r w:rsidRPr="003863EC">
              <w:rPr>
                <w:rFonts w:eastAsia="Times New Roman" w:cs="Arial"/>
                <w:sz w:val="22"/>
                <w:lang w:eastAsia="en-GB"/>
              </w:rPr>
              <w:t>3.500</w:t>
            </w:r>
          </w:p>
        </w:tc>
        <w:tc>
          <w:tcPr>
            <w:tcW w:w="1276" w:type="dxa"/>
            <w:tcBorders>
              <w:top w:val="nil"/>
              <w:left w:val="nil"/>
              <w:bottom w:val="nil"/>
              <w:right w:val="single" w:color="auto" w:sz="4" w:space="0"/>
            </w:tcBorders>
            <w:shd w:val="clear" w:color="auto" w:fill="auto"/>
            <w:noWrap/>
            <w:vAlign w:val="bottom"/>
            <w:hideMark/>
          </w:tcPr>
          <w:p w:rsidRPr="003863EC" w:rsidR="003863EC" w:rsidP="003863EC" w:rsidRDefault="003863EC" w14:paraId="5953BE85" w14:textId="77777777">
            <w:pPr>
              <w:spacing w:after="0" w:line="240" w:lineRule="auto"/>
              <w:jc w:val="right"/>
              <w:rPr>
                <w:rFonts w:eastAsia="Times New Roman" w:cs="Arial"/>
                <w:sz w:val="22"/>
                <w:lang w:eastAsia="en-GB"/>
              </w:rPr>
            </w:pPr>
            <w:r w:rsidRPr="003863EC">
              <w:rPr>
                <w:rFonts w:eastAsia="Times New Roman" w:cs="Arial"/>
                <w:sz w:val="22"/>
                <w:lang w:eastAsia="en-GB"/>
              </w:rPr>
              <w:t>0.000</w:t>
            </w:r>
          </w:p>
        </w:tc>
        <w:tc>
          <w:tcPr>
            <w:tcW w:w="1559" w:type="dxa"/>
            <w:tcBorders>
              <w:top w:val="nil"/>
              <w:left w:val="nil"/>
              <w:bottom w:val="nil"/>
              <w:right w:val="single" w:color="auto" w:sz="4" w:space="0"/>
            </w:tcBorders>
            <w:shd w:val="clear" w:color="auto" w:fill="auto"/>
            <w:noWrap/>
            <w:vAlign w:val="bottom"/>
            <w:hideMark/>
          </w:tcPr>
          <w:p w:rsidRPr="003863EC" w:rsidR="003863EC" w:rsidP="003863EC" w:rsidRDefault="003863EC" w14:paraId="7CC0E0BC" w14:textId="77777777">
            <w:pPr>
              <w:spacing w:after="0" w:line="240" w:lineRule="auto"/>
              <w:jc w:val="right"/>
              <w:rPr>
                <w:rFonts w:eastAsia="Times New Roman" w:cs="Arial"/>
                <w:sz w:val="22"/>
                <w:lang w:eastAsia="en-GB"/>
              </w:rPr>
            </w:pPr>
            <w:r w:rsidRPr="003863EC">
              <w:rPr>
                <w:rFonts w:eastAsia="Times New Roman" w:cs="Arial"/>
                <w:sz w:val="22"/>
                <w:lang w:eastAsia="en-GB"/>
              </w:rPr>
              <w:t xml:space="preserve">0.000 </w:t>
            </w:r>
          </w:p>
        </w:tc>
        <w:tc>
          <w:tcPr>
            <w:tcW w:w="1701" w:type="dxa"/>
            <w:tcBorders>
              <w:top w:val="nil"/>
              <w:left w:val="nil"/>
              <w:bottom w:val="nil"/>
              <w:right w:val="single" w:color="auto" w:sz="4" w:space="0"/>
            </w:tcBorders>
            <w:shd w:val="clear" w:color="auto" w:fill="auto"/>
            <w:noWrap/>
            <w:vAlign w:val="bottom"/>
            <w:hideMark/>
          </w:tcPr>
          <w:p w:rsidRPr="003863EC" w:rsidR="003863EC" w:rsidP="003863EC" w:rsidRDefault="003863EC" w14:paraId="0E7A8622" w14:textId="77777777">
            <w:pPr>
              <w:spacing w:after="0" w:line="240" w:lineRule="auto"/>
              <w:jc w:val="right"/>
              <w:rPr>
                <w:rFonts w:eastAsia="Times New Roman" w:cs="Arial"/>
                <w:sz w:val="22"/>
                <w:lang w:eastAsia="en-GB"/>
              </w:rPr>
            </w:pPr>
            <w:r w:rsidRPr="003863EC">
              <w:rPr>
                <w:rFonts w:eastAsia="Times New Roman" w:cs="Arial"/>
                <w:sz w:val="22"/>
                <w:lang w:eastAsia="en-GB"/>
              </w:rPr>
              <w:t>3.500</w:t>
            </w:r>
          </w:p>
        </w:tc>
      </w:tr>
      <w:tr w:rsidRPr="003863EC" w:rsidR="003863EC" w:rsidTr="00EA4B06" w14:paraId="254E49C1" w14:textId="77777777">
        <w:trPr>
          <w:trHeight w:val="285"/>
        </w:trPr>
        <w:tc>
          <w:tcPr>
            <w:tcW w:w="3255" w:type="dxa"/>
            <w:tcBorders>
              <w:top w:val="nil"/>
              <w:left w:val="single" w:color="auto" w:sz="4" w:space="0"/>
              <w:bottom w:val="single" w:color="auto" w:sz="4" w:space="0"/>
              <w:right w:val="nil"/>
            </w:tcBorders>
            <w:shd w:val="clear" w:color="auto" w:fill="auto"/>
            <w:noWrap/>
            <w:vAlign w:val="bottom"/>
            <w:hideMark/>
          </w:tcPr>
          <w:p w:rsidRPr="003863EC" w:rsidR="003863EC" w:rsidP="003863EC" w:rsidRDefault="003863EC" w14:paraId="63EBF468" w14:textId="77777777">
            <w:pPr>
              <w:spacing w:after="0" w:line="240" w:lineRule="auto"/>
              <w:rPr>
                <w:rFonts w:eastAsia="Times New Roman" w:cs="Arial"/>
                <w:sz w:val="22"/>
                <w:lang w:eastAsia="en-GB"/>
              </w:rPr>
            </w:pPr>
            <w:r w:rsidRPr="003863EC">
              <w:rPr>
                <w:rFonts w:eastAsia="Times New Roman" w:cs="Arial"/>
                <w:sz w:val="22"/>
                <w:lang w:eastAsia="en-GB"/>
              </w:rPr>
              <w:t>Local Authorities</w:t>
            </w:r>
          </w:p>
        </w:tc>
        <w:tc>
          <w:tcPr>
            <w:tcW w:w="1422" w:type="dxa"/>
            <w:tcBorders>
              <w:top w:val="nil"/>
              <w:left w:val="single" w:color="auto" w:sz="4" w:space="0"/>
              <w:bottom w:val="nil"/>
              <w:right w:val="single" w:color="auto" w:sz="4" w:space="0"/>
            </w:tcBorders>
            <w:shd w:val="clear" w:color="auto" w:fill="auto"/>
            <w:noWrap/>
            <w:vAlign w:val="bottom"/>
            <w:hideMark/>
          </w:tcPr>
          <w:p w:rsidRPr="003863EC" w:rsidR="003863EC" w:rsidP="003863EC" w:rsidRDefault="003863EC" w14:paraId="6E0C2CA5" w14:textId="77777777">
            <w:pPr>
              <w:spacing w:after="0" w:line="240" w:lineRule="auto"/>
              <w:jc w:val="right"/>
              <w:rPr>
                <w:rFonts w:eastAsia="Times New Roman" w:cs="Arial"/>
                <w:sz w:val="22"/>
                <w:lang w:eastAsia="en-GB"/>
              </w:rPr>
            </w:pPr>
            <w:r w:rsidRPr="003863EC">
              <w:rPr>
                <w:rFonts w:eastAsia="Times New Roman" w:cs="Arial"/>
                <w:sz w:val="22"/>
                <w:lang w:eastAsia="en-GB"/>
              </w:rPr>
              <w:t>2.000</w:t>
            </w:r>
          </w:p>
        </w:tc>
        <w:tc>
          <w:tcPr>
            <w:tcW w:w="1276" w:type="dxa"/>
            <w:tcBorders>
              <w:top w:val="nil"/>
              <w:left w:val="nil"/>
              <w:bottom w:val="nil"/>
              <w:right w:val="single" w:color="auto" w:sz="4" w:space="0"/>
            </w:tcBorders>
            <w:shd w:val="clear" w:color="auto" w:fill="auto"/>
            <w:noWrap/>
            <w:vAlign w:val="bottom"/>
            <w:hideMark/>
          </w:tcPr>
          <w:p w:rsidRPr="003863EC" w:rsidR="003863EC" w:rsidP="003863EC" w:rsidRDefault="003863EC" w14:paraId="6419A13D" w14:textId="77777777">
            <w:pPr>
              <w:spacing w:after="0" w:line="240" w:lineRule="auto"/>
              <w:jc w:val="right"/>
              <w:rPr>
                <w:rFonts w:eastAsia="Times New Roman" w:cs="Arial"/>
                <w:sz w:val="22"/>
                <w:lang w:eastAsia="en-GB"/>
              </w:rPr>
            </w:pPr>
            <w:r w:rsidRPr="003863EC">
              <w:rPr>
                <w:rFonts w:eastAsia="Times New Roman" w:cs="Arial"/>
                <w:sz w:val="22"/>
                <w:lang w:eastAsia="en-GB"/>
              </w:rPr>
              <w:t>0.000</w:t>
            </w:r>
          </w:p>
        </w:tc>
        <w:tc>
          <w:tcPr>
            <w:tcW w:w="1559" w:type="dxa"/>
            <w:tcBorders>
              <w:top w:val="nil"/>
              <w:left w:val="nil"/>
              <w:bottom w:val="nil"/>
              <w:right w:val="single" w:color="auto" w:sz="4" w:space="0"/>
            </w:tcBorders>
            <w:shd w:val="clear" w:color="auto" w:fill="auto"/>
            <w:noWrap/>
            <w:vAlign w:val="bottom"/>
            <w:hideMark/>
          </w:tcPr>
          <w:p w:rsidRPr="003863EC" w:rsidR="003863EC" w:rsidP="003863EC" w:rsidRDefault="003863EC" w14:paraId="464B7F32" w14:textId="77777777">
            <w:pPr>
              <w:spacing w:after="0" w:line="240" w:lineRule="auto"/>
              <w:jc w:val="right"/>
              <w:rPr>
                <w:rFonts w:eastAsia="Times New Roman" w:cs="Arial"/>
                <w:sz w:val="22"/>
                <w:lang w:eastAsia="en-GB"/>
              </w:rPr>
            </w:pPr>
            <w:r w:rsidRPr="003863EC">
              <w:rPr>
                <w:rFonts w:eastAsia="Times New Roman" w:cs="Arial"/>
                <w:color w:val="FF0000"/>
                <w:sz w:val="22"/>
                <w:lang w:eastAsia="en-GB"/>
              </w:rPr>
              <w:t xml:space="preserve">(2.000) </w:t>
            </w:r>
          </w:p>
        </w:tc>
        <w:tc>
          <w:tcPr>
            <w:tcW w:w="1701" w:type="dxa"/>
            <w:tcBorders>
              <w:top w:val="nil"/>
              <w:left w:val="nil"/>
              <w:bottom w:val="nil"/>
              <w:right w:val="single" w:color="auto" w:sz="4" w:space="0"/>
            </w:tcBorders>
            <w:shd w:val="clear" w:color="auto" w:fill="auto"/>
            <w:noWrap/>
            <w:vAlign w:val="bottom"/>
            <w:hideMark/>
          </w:tcPr>
          <w:p w:rsidRPr="003863EC" w:rsidR="003863EC" w:rsidP="003863EC" w:rsidRDefault="003863EC" w14:paraId="595B796E" w14:textId="77777777">
            <w:pPr>
              <w:spacing w:after="0" w:line="240" w:lineRule="auto"/>
              <w:jc w:val="right"/>
              <w:rPr>
                <w:rFonts w:eastAsia="Times New Roman" w:cs="Arial"/>
                <w:sz w:val="22"/>
                <w:lang w:eastAsia="en-GB"/>
              </w:rPr>
            </w:pPr>
            <w:r w:rsidRPr="003863EC">
              <w:rPr>
                <w:rFonts w:eastAsia="Times New Roman" w:cs="Arial"/>
                <w:sz w:val="22"/>
                <w:lang w:eastAsia="en-GB"/>
              </w:rPr>
              <w:t>0.000</w:t>
            </w:r>
          </w:p>
        </w:tc>
      </w:tr>
      <w:tr w:rsidRPr="003863EC" w:rsidR="003863EC" w:rsidTr="00672152" w14:paraId="6A9D641A" w14:textId="77777777">
        <w:trPr>
          <w:trHeight w:val="300"/>
        </w:trPr>
        <w:tc>
          <w:tcPr>
            <w:tcW w:w="3255" w:type="dxa"/>
            <w:tcBorders>
              <w:top w:val="single" w:color="auto" w:sz="4" w:space="0"/>
              <w:left w:val="single" w:color="auto" w:sz="4" w:space="0"/>
              <w:bottom w:val="single" w:color="auto" w:sz="4" w:space="0"/>
              <w:right w:val="nil"/>
            </w:tcBorders>
            <w:shd w:val="clear" w:color="auto" w:fill="B4C6E7" w:themeFill="accent1" w:themeFillTint="66"/>
            <w:noWrap/>
            <w:vAlign w:val="bottom"/>
            <w:hideMark/>
          </w:tcPr>
          <w:p w:rsidRPr="003863EC" w:rsidR="003863EC" w:rsidP="003863EC" w:rsidRDefault="003863EC" w14:paraId="47702DF4" w14:textId="4FD19654">
            <w:pPr>
              <w:spacing w:after="0" w:line="240" w:lineRule="auto"/>
              <w:rPr>
                <w:rFonts w:eastAsia="Times New Roman" w:cs="Arial"/>
                <w:b/>
                <w:bCs/>
                <w:sz w:val="22"/>
                <w:lang w:eastAsia="en-GB"/>
              </w:rPr>
            </w:pPr>
            <w:r w:rsidRPr="003863EC">
              <w:rPr>
                <w:rFonts w:eastAsia="Times New Roman" w:cs="Arial"/>
                <w:b/>
                <w:bCs/>
                <w:sz w:val="22"/>
                <w:lang w:eastAsia="en-GB"/>
              </w:rPr>
              <w:t>Total Long Term Borrowing</w:t>
            </w:r>
          </w:p>
        </w:tc>
        <w:tc>
          <w:tcPr>
            <w:tcW w:w="1422" w:type="dxa"/>
            <w:tcBorders>
              <w:top w:val="single" w:color="auto" w:sz="4" w:space="0"/>
              <w:left w:val="single" w:color="auto" w:sz="4" w:space="0"/>
              <w:bottom w:val="single" w:color="auto" w:sz="4" w:space="0"/>
              <w:right w:val="single" w:color="auto" w:sz="4" w:space="0"/>
            </w:tcBorders>
            <w:shd w:val="clear" w:color="auto" w:fill="B4C6E7" w:themeFill="accent1" w:themeFillTint="66"/>
            <w:noWrap/>
            <w:vAlign w:val="bottom"/>
            <w:hideMark/>
          </w:tcPr>
          <w:p w:rsidRPr="003863EC" w:rsidR="003863EC" w:rsidP="003863EC" w:rsidRDefault="003863EC" w14:paraId="359FD65D" w14:textId="77777777">
            <w:pPr>
              <w:spacing w:after="0" w:line="240" w:lineRule="auto"/>
              <w:jc w:val="right"/>
              <w:rPr>
                <w:rFonts w:eastAsia="Times New Roman" w:cs="Arial"/>
                <w:sz w:val="22"/>
                <w:lang w:eastAsia="en-GB"/>
              </w:rPr>
            </w:pPr>
            <w:r w:rsidRPr="003863EC">
              <w:rPr>
                <w:rFonts w:eastAsia="Times New Roman" w:cs="Arial"/>
                <w:sz w:val="22"/>
                <w:lang w:eastAsia="en-GB"/>
              </w:rPr>
              <w:t>62.370</w:t>
            </w:r>
          </w:p>
        </w:tc>
        <w:tc>
          <w:tcPr>
            <w:tcW w:w="1276" w:type="dxa"/>
            <w:tcBorders>
              <w:top w:val="single" w:color="auto" w:sz="4" w:space="0"/>
              <w:left w:val="nil"/>
              <w:bottom w:val="single" w:color="auto" w:sz="4" w:space="0"/>
              <w:right w:val="single" w:color="auto" w:sz="4" w:space="0"/>
            </w:tcBorders>
            <w:shd w:val="clear" w:color="auto" w:fill="B4C6E7" w:themeFill="accent1" w:themeFillTint="66"/>
            <w:noWrap/>
            <w:vAlign w:val="bottom"/>
            <w:hideMark/>
          </w:tcPr>
          <w:p w:rsidRPr="003863EC" w:rsidR="003863EC" w:rsidP="003863EC" w:rsidRDefault="003863EC" w14:paraId="4FEF76C4" w14:textId="77777777">
            <w:pPr>
              <w:spacing w:after="0" w:line="240" w:lineRule="auto"/>
              <w:jc w:val="right"/>
              <w:rPr>
                <w:rFonts w:eastAsia="Times New Roman" w:cs="Arial"/>
                <w:sz w:val="22"/>
                <w:lang w:eastAsia="en-GB"/>
              </w:rPr>
            </w:pPr>
            <w:r w:rsidRPr="003863EC">
              <w:rPr>
                <w:rFonts w:eastAsia="Times New Roman" w:cs="Arial"/>
                <w:sz w:val="22"/>
                <w:lang w:eastAsia="en-GB"/>
              </w:rPr>
              <w:t>0.000</w:t>
            </w:r>
          </w:p>
        </w:tc>
        <w:tc>
          <w:tcPr>
            <w:tcW w:w="1559" w:type="dxa"/>
            <w:tcBorders>
              <w:top w:val="single" w:color="auto" w:sz="4" w:space="0"/>
              <w:left w:val="nil"/>
              <w:bottom w:val="single" w:color="auto" w:sz="4" w:space="0"/>
              <w:right w:val="single" w:color="auto" w:sz="4" w:space="0"/>
            </w:tcBorders>
            <w:shd w:val="clear" w:color="auto" w:fill="B4C6E7" w:themeFill="accent1" w:themeFillTint="66"/>
            <w:noWrap/>
            <w:vAlign w:val="bottom"/>
            <w:hideMark/>
          </w:tcPr>
          <w:p w:rsidRPr="003863EC" w:rsidR="003863EC" w:rsidP="003863EC" w:rsidRDefault="003863EC" w14:paraId="30AC13E5" w14:textId="77777777">
            <w:pPr>
              <w:spacing w:after="0" w:line="240" w:lineRule="auto"/>
              <w:jc w:val="right"/>
              <w:rPr>
                <w:rFonts w:eastAsia="Times New Roman" w:cs="Arial"/>
                <w:sz w:val="22"/>
                <w:lang w:eastAsia="en-GB"/>
              </w:rPr>
            </w:pPr>
            <w:r w:rsidRPr="003863EC">
              <w:rPr>
                <w:rFonts w:eastAsia="Times New Roman" w:cs="Arial"/>
                <w:color w:val="FF0000"/>
                <w:sz w:val="22"/>
                <w:lang w:eastAsia="en-GB"/>
              </w:rPr>
              <w:t xml:space="preserve">(2.549) </w:t>
            </w:r>
          </w:p>
        </w:tc>
        <w:tc>
          <w:tcPr>
            <w:tcW w:w="1701" w:type="dxa"/>
            <w:tcBorders>
              <w:top w:val="single" w:color="auto" w:sz="4" w:space="0"/>
              <w:left w:val="nil"/>
              <w:bottom w:val="single" w:color="auto" w:sz="4" w:space="0"/>
              <w:right w:val="single" w:color="auto" w:sz="4" w:space="0"/>
            </w:tcBorders>
            <w:shd w:val="clear" w:color="auto" w:fill="B4C6E7" w:themeFill="accent1" w:themeFillTint="66"/>
            <w:noWrap/>
            <w:vAlign w:val="bottom"/>
            <w:hideMark/>
          </w:tcPr>
          <w:p w:rsidRPr="003863EC" w:rsidR="003863EC" w:rsidP="003863EC" w:rsidRDefault="003863EC" w14:paraId="54841819" w14:textId="77777777">
            <w:pPr>
              <w:spacing w:after="0" w:line="240" w:lineRule="auto"/>
              <w:jc w:val="right"/>
              <w:rPr>
                <w:rFonts w:eastAsia="Times New Roman" w:cs="Arial"/>
                <w:sz w:val="22"/>
                <w:lang w:eastAsia="en-GB"/>
              </w:rPr>
            </w:pPr>
            <w:r w:rsidRPr="003863EC">
              <w:rPr>
                <w:rFonts w:eastAsia="Times New Roman" w:cs="Arial"/>
                <w:sz w:val="22"/>
                <w:lang w:eastAsia="en-GB"/>
              </w:rPr>
              <w:t>59.821</w:t>
            </w:r>
          </w:p>
        </w:tc>
      </w:tr>
      <w:tr w:rsidRPr="003863EC" w:rsidR="003863EC" w:rsidTr="00EA4B06" w14:paraId="164BD6D6" w14:textId="77777777">
        <w:trPr>
          <w:trHeight w:val="285"/>
        </w:trPr>
        <w:tc>
          <w:tcPr>
            <w:tcW w:w="3255" w:type="dxa"/>
            <w:tcBorders>
              <w:top w:val="single" w:color="auto" w:sz="4" w:space="0"/>
              <w:left w:val="single" w:color="auto" w:sz="4" w:space="0"/>
              <w:bottom w:val="single" w:color="auto" w:sz="4" w:space="0"/>
            </w:tcBorders>
            <w:shd w:val="clear" w:color="auto" w:fill="auto"/>
            <w:noWrap/>
            <w:vAlign w:val="bottom"/>
            <w:hideMark/>
          </w:tcPr>
          <w:p w:rsidRPr="003863EC" w:rsidR="003863EC" w:rsidP="003863EC" w:rsidRDefault="003863EC" w14:paraId="33161E4D" w14:textId="77777777">
            <w:pPr>
              <w:spacing w:after="0" w:line="240" w:lineRule="auto"/>
              <w:jc w:val="right"/>
              <w:rPr>
                <w:rFonts w:eastAsia="Times New Roman" w:cs="Arial"/>
                <w:sz w:val="22"/>
                <w:lang w:eastAsia="en-GB"/>
              </w:rPr>
            </w:pPr>
          </w:p>
        </w:tc>
        <w:tc>
          <w:tcPr>
            <w:tcW w:w="1422" w:type="dxa"/>
            <w:tcBorders>
              <w:top w:val="single" w:color="auto" w:sz="4" w:space="0"/>
              <w:bottom w:val="single" w:color="auto" w:sz="4" w:space="0"/>
            </w:tcBorders>
            <w:shd w:val="clear" w:color="auto" w:fill="auto"/>
            <w:noWrap/>
            <w:vAlign w:val="bottom"/>
            <w:hideMark/>
          </w:tcPr>
          <w:p w:rsidRPr="003863EC" w:rsidR="003863EC" w:rsidP="003863EC" w:rsidRDefault="003863EC" w14:paraId="7295362D" w14:textId="77777777">
            <w:pPr>
              <w:spacing w:after="0" w:line="240" w:lineRule="auto"/>
              <w:jc w:val="right"/>
              <w:rPr>
                <w:rFonts w:eastAsia="Times New Roman" w:cs="Arial"/>
                <w:sz w:val="22"/>
                <w:lang w:eastAsia="en-GB"/>
              </w:rPr>
            </w:pPr>
            <w:r w:rsidRPr="003863EC">
              <w:rPr>
                <w:rFonts w:eastAsia="Times New Roman" w:cs="Arial"/>
                <w:sz w:val="22"/>
                <w:lang w:eastAsia="en-GB"/>
              </w:rPr>
              <w:t> </w:t>
            </w:r>
          </w:p>
        </w:tc>
        <w:tc>
          <w:tcPr>
            <w:tcW w:w="1276" w:type="dxa"/>
            <w:tcBorders>
              <w:top w:val="single" w:color="auto" w:sz="4" w:space="0"/>
              <w:bottom w:val="single" w:color="auto" w:sz="4" w:space="0"/>
            </w:tcBorders>
            <w:shd w:val="clear" w:color="auto" w:fill="auto"/>
            <w:noWrap/>
            <w:vAlign w:val="bottom"/>
            <w:hideMark/>
          </w:tcPr>
          <w:p w:rsidRPr="003863EC" w:rsidR="003863EC" w:rsidP="003863EC" w:rsidRDefault="003863EC" w14:paraId="614C641E" w14:textId="77777777">
            <w:pPr>
              <w:spacing w:after="0" w:line="240" w:lineRule="auto"/>
              <w:jc w:val="right"/>
              <w:rPr>
                <w:rFonts w:eastAsia="Times New Roman" w:cs="Arial"/>
                <w:sz w:val="22"/>
                <w:lang w:eastAsia="en-GB"/>
              </w:rPr>
            </w:pPr>
            <w:r w:rsidRPr="003863EC">
              <w:rPr>
                <w:rFonts w:eastAsia="Times New Roman" w:cs="Arial"/>
                <w:sz w:val="22"/>
                <w:lang w:eastAsia="en-GB"/>
              </w:rPr>
              <w:t> </w:t>
            </w:r>
          </w:p>
        </w:tc>
        <w:tc>
          <w:tcPr>
            <w:tcW w:w="1559" w:type="dxa"/>
            <w:tcBorders>
              <w:top w:val="single" w:color="auto" w:sz="4" w:space="0"/>
              <w:bottom w:val="single" w:color="auto" w:sz="4" w:space="0"/>
            </w:tcBorders>
            <w:shd w:val="clear" w:color="auto" w:fill="auto"/>
            <w:noWrap/>
            <w:vAlign w:val="bottom"/>
            <w:hideMark/>
          </w:tcPr>
          <w:p w:rsidRPr="003863EC" w:rsidR="003863EC" w:rsidP="003863EC" w:rsidRDefault="003863EC" w14:paraId="4AA9B1D5" w14:textId="77777777">
            <w:pPr>
              <w:spacing w:after="0" w:line="240" w:lineRule="auto"/>
              <w:jc w:val="right"/>
              <w:rPr>
                <w:rFonts w:eastAsia="Times New Roman" w:cs="Arial"/>
                <w:sz w:val="22"/>
                <w:lang w:eastAsia="en-GB"/>
              </w:rPr>
            </w:pPr>
            <w:r w:rsidRPr="003863EC">
              <w:rPr>
                <w:rFonts w:eastAsia="Times New Roman" w:cs="Arial"/>
                <w:sz w:val="22"/>
                <w:lang w:eastAsia="en-GB"/>
              </w:rPr>
              <w:t> </w:t>
            </w:r>
          </w:p>
        </w:tc>
        <w:tc>
          <w:tcPr>
            <w:tcW w:w="1701" w:type="dxa"/>
            <w:tcBorders>
              <w:top w:val="single" w:color="auto" w:sz="4" w:space="0"/>
              <w:bottom w:val="single" w:color="auto" w:sz="4" w:space="0"/>
              <w:right w:val="single" w:color="auto" w:sz="4" w:space="0"/>
            </w:tcBorders>
            <w:shd w:val="clear" w:color="auto" w:fill="auto"/>
            <w:noWrap/>
            <w:vAlign w:val="bottom"/>
            <w:hideMark/>
          </w:tcPr>
          <w:p w:rsidRPr="003863EC" w:rsidR="003863EC" w:rsidP="003863EC" w:rsidRDefault="003863EC" w14:paraId="6B181789" w14:textId="77777777">
            <w:pPr>
              <w:spacing w:after="0" w:line="240" w:lineRule="auto"/>
              <w:jc w:val="right"/>
              <w:rPr>
                <w:rFonts w:eastAsia="Times New Roman" w:cs="Arial"/>
                <w:sz w:val="22"/>
                <w:lang w:eastAsia="en-GB"/>
              </w:rPr>
            </w:pPr>
            <w:r w:rsidRPr="003863EC">
              <w:rPr>
                <w:rFonts w:eastAsia="Times New Roman" w:cs="Arial"/>
                <w:sz w:val="22"/>
                <w:lang w:eastAsia="en-GB"/>
              </w:rPr>
              <w:t> </w:t>
            </w:r>
          </w:p>
        </w:tc>
      </w:tr>
      <w:tr w:rsidRPr="003863EC" w:rsidR="003863EC" w:rsidTr="00EA4B06" w14:paraId="3E482C72" w14:textId="77777777">
        <w:trPr>
          <w:trHeight w:val="300"/>
        </w:trPr>
        <w:tc>
          <w:tcPr>
            <w:tcW w:w="3255" w:type="dxa"/>
            <w:tcBorders>
              <w:top w:val="single" w:color="auto" w:sz="4" w:space="0"/>
              <w:left w:val="single" w:color="auto" w:sz="4" w:space="0"/>
              <w:bottom w:val="nil"/>
              <w:right w:val="nil"/>
            </w:tcBorders>
            <w:shd w:val="clear" w:color="auto" w:fill="auto"/>
            <w:noWrap/>
            <w:vAlign w:val="bottom"/>
            <w:hideMark/>
          </w:tcPr>
          <w:p w:rsidRPr="003863EC" w:rsidR="003863EC" w:rsidP="003863EC" w:rsidRDefault="003863EC" w14:paraId="767D9127" w14:textId="77777777">
            <w:pPr>
              <w:spacing w:after="0" w:line="240" w:lineRule="auto"/>
              <w:rPr>
                <w:rFonts w:eastAsia="Times New Roman" w:cs="Arial"/>
                <w:b/>
                <w:bCs/>
                <w:sz w:val="22"/>
                <w:u w:val="single"/>
                <w:lang w:eastAsia="en-GB"/>
              </w:rPr>
            </w:pPr>
            <w:r w:rsidRPr="003863EC">
              <w:rPr>
                <w:rFonts w:eastAsia="Times New Roman" w:cs="Arial"/>
                <w:b/>
                <w:bCs/>
                <w:sz w:val="22"/>
                <w:u w:val="single"/>
                <w:lang w:eastAsia="en-GB"/>
              </w:rPr>
              <w:t>Temporary Borrowing</w:t>
            </w:r>
          </w:p>
        </w:tc>
        <w:tc>
          <w:tcPr>
            <w:tcW w:w="1422" w:type="dxa"/>
            <w:tcBorders>
              <w:top w:val="single" w:color="auto" w:sz="4" w:space="0"/>
              <w:left w:val="single" w:color="auto" w:sz="4" w:space="0"/>
              <w:bottom w:val="nil"/>
              <w:right w:val="single" w:color="auto" w:sz="4" w:space="0"/>
            </w:tcBorders>
            <w:shd w:val="clear" w:color="auto" w:fill="auto"/>
            <w:noWrap/>
            <w:vAlign w:val="bottom"/>
            <w:hideMark/>
          </w:tcPr>
          <w:p w:rsidRPr="003863EC" w:rsidR="003863EC" w:rsidP="003863EC" w:rsidRDefault="003863EC" w14:paraId="4A3674F6" w14:textId="77777777">
            <w:pPr>
              <w:spacing w:after="0" w:line="240" w:lineRule="auto"/>
              <w:jc w:val="right"/>
              <w:rPr>
                <w:rFonts w:eastAsia="Times New Roman" w:cs="Arial"/>
                <w:sz w:val="22"/>
                <w:lang w:eastAsia="en-GB"/>
              </w:rPr>
            </w:pPr>
            <w:r w:rsidRPr="003863EC">
              <w:rPr>
                <w:rFonts w:eastAsia="Times New Roman" w:cs="Arial"/>
                <w:sz w:val="22"/>
                <w:lang w:eastAsia="en-GB"/>
              </w:rPr>
              <w:t> </w:t>
            </w:r>
          </w:p>
        </w:tc>
        <w:tc>
          <w:tcPr>
            <w:tcW w:w="1276" w:type="dxa"/>
            <w:tcBorders>
              <w:top w:val="single" w:color="auto" w:sz="4" w:space="0"/>
              <w:left w:val="nil"/>
              <w:bottom w:val="nil"/>
              <w:right w:val="single" w:color="auto" w:sz="4" w:space="0"/>
            </w:tcBorders>
            <w:shd w:val="clear" w:color="auto" w:fill="auto"/>
            <w:noWrap/>
            <w:vAlign w:val="bottom"/>
            <w:hideMark/>
          </w:tcPr>
          <w:p w:rsidRPr="003863EC" w:rsidR="003863EC" w:rsidP="003863EC" w:rsidRDefault="003863EC" w14:paraId="2631DB82" w14:textId="77777777">
            <w:pPr>
              <w:spacing w:after="0" w:line="240" w:lineRule="auto"/>
              <w:jc w:val="right"/>
              <w:rPr>
                <w:rFonts w:eastAsia="Times New Roman" w:cs="Arial"/>
                <w:sz w:val="22"/>
                <w:lang w:eastAsia="en-GB"/>
              </w:rPr>
            </w:pPr>
            <w:r w:rsidRPr="003863EC">
              <w:rPr>
                <w:rFonts w:eastAsia="Times New Roman" w:cs="Arial"/>
                <w:sz w:val="22"/>
                <w:lang w:eastAsia="en-GB"/>
              </w:rPr>
              <w:t> </w:t>
            </w:r>
          </w:p>
        </w:tc>
        <w:tc>
          <w:tcPr>
            <w:tcW w:w="1559" w:type="dxa"/>
            <w:tcBorders>
              <w:top w:val="single" w:color="auto" w:sz="4" w:space="0"/>
              <w:left w:val="nil"/>
              <w:bottom w:val="nil"/>
              <w:right w:val="single" w:color="auto" w:sz="4" w:space="0"/>
            </w:tcBorders>
            <w:shd w:val="clear" w:color="auto" w:fill="auto"/>
            <w:noWrap/>
            <w:vAlign w:val="bottom"/>
            <w:hideMark/>
          </w:tcPr>
          <w:p w:rsidRPr="003863EC" w:rsidR="003863EC" w:rsidP="003863EC" w:rsidRDefault="003863EC" w14:paraId="61BED168" w14:textId="77777777">
            <w:pPr>
              <w:spacing w:after="0" w:line="240" w:lineRule="auto"/>
              <w:jc w:val="right"/>
              <w:rPr>
                <w:rFonts w:eastAsia="Times New Roman" w:cs="Arial"/>
                <w:sz w:val="22"/>
                <w:lang w:eastAsia="en-GB"/>
              </w:rPr>
            </w:pPr>
            <w:r w:rsidRPr="003863EC">
              <w:rPr>
                <w:rFonts w:eastAsia="Times New Roman" w:cs="Arial"/>
                <w:sz w:val="22"/>
                <w:lang w:eastAsia="en-GB"/>
              </w:rPr>
              <w:t> </w:t>
            </w:r>
          </w:p>
        </w:tc>
        <w:tc>
          <w:tcPr>
            <w:tcW w:w="1701" w:type="dxa"/>
            <w:tcBorders>
              <w:top w:val="single" w:color="auto" w:sz="4" w:space="0"/>
              <w:left w:val="nil"/>
              <w:bottom w:val="nil"/>
              <w:right w:val="single" w:color="auto" w:sz="4" w:space="0"/>
            </w:tcBorders>
            <w:shd w:val="clear" w:color="auto" w:fill="auto"/>
            <w:noWrap/>
            <w:vAlign w:val="bottom"/>
            <w:hideMark/>
          </w:tcPr>
          <w:p w:rsidRPr="003863EC" w:rsidR="003863EC" w:rsidP="003863EC" w:rsidRDefault="003863EC" w14:paraId="7074720C" w14:textId="77777777">
            <w:pPr>
              <w:spacing w:after="0" w:line="240" w:lineRule="auto"/>
              <w:jc w:val="right"/>
              <w:rPr>
                <w:rFonts w:eastAsia="Times New Roman" w:cs="Arial"/>
                <w:sz w:val="22"/>
                <w:lang w:eastAsia="en-GB"/>
              </w:rPr>
            </w:pPr>
            <w:r w:rsidRPr="003863EC">
              <w:rPr>
                <w:rFonts w:eastAsia="Times New Roman" w:cs="Arial"/>
                <w:sz w:val="22"/>
                <w:lang w:eastAsia="en-GB"/>
              </w:rPr>
              <w:t> </w:t>
            </w:r>
          </w:p>
        </w:tc>
      </w:tr>
      <w:tr w:rsidRPr="003863EC" w:rsidR="003863EC" w:rsidTr="00EA4B06" w14:paraId="12F5F1A0" w14:textId="77777777">
        <w:trPr>
          <w:trHeight w:val="285"/>
        </w:trPr>
        <w:tc>
          <w:tcPr>
            <w:tcW w:w="3255" w:type="dxa"/>
            <w:tcBorders>
              <w:top w:val="nil"/>
              <w:left w:val="single" w:color="auto" w:sz="4" w:space="0"/>
              <w:bottom w:val="nil"/>
              <w:right w:val="nil"/>
            </w:tcBorders>
            <w:shd w:val="clear" w:color="auto" w:fill="auto"/>
            <w:noWrap/>
            <w:vAlign w:val="bottom"/>
            <w:hideMark/>
          </w:tcPr>
          <w:p w:rsidRPr="003863EC" w:rsidR="003863EC" w:rsidP="003863EC" w:rsidRDefault="003863EC" w14:paraId="71DDF571" w14:textId="77777777">
            <w:pPr>
              <w:spacing w:after="0" w:line="240" w:lineRule="auto"/>
              <w:rPr>
                <w:rFonts w:eastAsia="Times New Roman" w:cs="Arial"/>
                <w:sz w:val="22"/>
                <w:lang w:eastAsia="en-GB"/>
              </w:rPr>
            </w:pPr>
            <w:r w:rsidRPr="003863EC">
              <w:rPr>
                <w:rFonts w:eastAsia="Times New Roman" w:cs="Arial"/>
                <w:sz w:val="22"/>
                <w:lang w:eastAsia="en-GB"/>
              </w:rPr>
              <w:t>Local Authorities</w:t>
            </w:r>
          </w:p>
        </w:tc>
        <w:tc>
          <w:tcPr>
            <w:tcW w:w="1422" w:type="dxa"/>
            <w:tcBorders>
              <w:top w:val="nil"/>
              <w:left w:val="single" w:color="auto" w:sz="4" w:space="0"/>
              <w:bottom w:val="nil"/>
              <w:right w:val="single" w:color="auto" w:sz="4" w:space="0"/>
            </w:tcBorders>
            <w:shd w:val="clear" w:color="auto" w:fill="auto"/>
            <w:noWrap/>
            <w:vAlign w:val="bottom"/>
            <w:hideMark/>
          </w:tcPr>
          <w:p w:rsidRPr="003863EC" w:rsidR="003863EC" w:rsidP="003863EC" w:rsidRDefault="003863EC" w14:paraId="6B1DDCB2" w14:textId="77777777">
            <w:pPr>
              <w:spacing w:after="0" w:line="240" w:lineRule="auto"/>
              <w:jc w:val="right"/>
              <w:rPr>
                <w:rFonts w:eastAsia="Times New Roman" w:cs="Arial"/>
                <w:sz w:val="22"/>
                <w:lang w:eastAsia="en-GB"/>
              </w:rPr>
            </w:pPr>
            <w:r w:rsidRPr="003863EC">
              <w:rPr>
                <w:rFonts w:eastAsia="Times New Roman" w:cs="Arial"/>
                <w:sz w:val="22"/>
                <w:lang w:eastAsia="en-GB"/>
              </w:rPr>
              <w:t>8.000</w:t>
            </w:r>
          </w:p>
        </w:tc>
        <w:tc>
          <w:tcPr>
            <w:tcW w:w="1276" w:type="dxa"/>
            <w:tcBorders>
              <w:top w:val="nil"/>
              <w:left w:val="nil"/>
              <w:bottom w:val="nil"/>
              <w:right w:val="single" w:color="auto" w:sz="4" w:space="0"/>
            </w:tcBorders>
            <w:shd w:val="clear" w:color="auto" w:fill="auto"/>
            <w:noWrap/>
            <w:vAlign w:val="bottom"/>
            <w:hideMark/>
          </w:tcPr>
          <w:p w:rsidRPr="003863EC" w:rsidR="003863EC" w:rsidP="003863EC" w:rsidRDefault="003863EC" w14:paraId="73A88130" w14:textId="77777777">
            <w:pPr>
              <w:spacing w:after="0" w:line="240" w:lineRule="auto"/>
              <w:jc w:val="right"/>
              <w:rPr>
                <w:rFonts w:eastAsia="Times New Roman" w:cs="Arial"/>
                <w:sz w:val="22"/>
                <w:lang w:eastAsia="en-GB"/>
              </w:rPr>
            </w:pPr>
            <w:r w:rsidRPr="003863EC">
              <w:rPr>
                <w:rFonts w:eastAsia="Times New Roman" w:cs="Arial"/>
                <w:sz w:val="22"/>
                <w:lang w:eastAsia="en-GB"/>
              </w:rPr>
              <w:t>28.000</w:t>
            </w:r>
          </w:p>
        </w:tc>
        <w:tc>
          <w:tcPr>
            <w:tcW w:w="1559" w:type="dxa"/>
            <w:tcBorders>
              <w:top w:val="nil"/>
              <w:left w:val="nil"/>
              <w:bottom w:val="nil"/>
              <w:right w:val="single" w:color="auto" w:sz="4" w:space="0"/>
            </w:tcBorders>
            <w:shd w:val="clear" w:color="auto" w:fill="auto"/>
            <w:noWrap/>
            <w:vAlign w:val="bottom"/>
            <w:hideMark/>
          </w:tcPr>
          <w:p w:rsidRPr="003863EC" w:rsidR="003863EC" w:rsidP="003863EC" w:rsidRDefault="003863EC" w14:paraId="2270F744" w14:textId="77777777">
            <w:pPr>
              <w:spacing w:after="0" w:line="240" w:lineRule="auto"/>
              <w:jc w:val="right"/>
              <w:rPr>
                <w:rFonts w:eastAsia="Times New Roman" w:cs="Arial"/>
                <w:sz w:val="22"/>
                <w:lang w:eastAsia="en-GB"/>
              </w:rPr>
            </w:pPr>
            <w:r w:rsidRPr="003863EC">
              <w:rPr>
                <w:rFonts w:eastAsia="Times New Roman" w:cs="Arial"/>
                <w:color w:val="FF0000"/>
                <w:sz w:val="22"/>
                <w:lang w:eastAsia="en-GB"/>
              </w:rPr>
              <w:t xml:space="preserve">(20.000) </w:t>
            </w:r>
          </w:p>
        </w:tc>
        <w:tc>
          <w:tcPr>
            <w:tcW w:w="1701" w:type="dxa"/>
            <w:tcBorders>
              <w:top w:val="nil"/>
              <w:left w:val="nil"/>
              <w:bottom w:val="nil"/>
              <w:right w:val="single" w:color="auto" w:sz="4" w:space="0"/>
            </w:tcBorders>
            <w:shd w:val="clear" w:color="auto" w:fill="auto"/>
            <w:noWrap/>
            <w:vAlign w:val="bottom"/>
            <w:hideMark/>
          </w:tcPr>
          <w:p w:rsidRPr="003863EC" w:rsidR="003863EC" w:rsidP="003863EC" w:rsidRDefault="003863EC" w14:paraId="62CAA3AC" w14:textId="77777777">
            <w:pPr>
              <w:spacing w:after="0" w:line="240" w:lineRule="auto"/>
              <w:jc w:val="right"/>
              <w:rPr>
                <w:rFonts w:eastAsia="Times New Roman" w:cs="Arial"/>
                <w:sz w:val="22"/>
                <w:lang w:eastAsia="en-GB"/>
              </w:rPr>
            </w:pPr>
            <w:r w:rsidRPr="003863EC">
              <w:rPr>
                <w:rFonts w:eastAsia="Times New Roman" w:cs="Arial"/>
                <w:sz w:val="22"/>
                <w:lang w:eastAsia="en-GB"/>
              </w:rPr>
              <w:t>16.000</w:t>
            </w:r>
          </w:p>
        </w:tc>
      </w:tr>
      <w:tr w:rsidRPr="003863EC" w:rsidR="003863EC" w:rsidTr="00EA4B06" w14:paraId="3D2A60A6" w14:textId="77777777">
        <w:trPr>
          <w:trHeight w:val="285"/>
        </w:trPr>
        <w:tc>
          <w:tcPr>
            <w:tcW w:w="3255" w:type="dxa"/>
            <w:tcBorders>
              <w:top w:val="nil"/>
              <w:left w:val="single" w:color="auto" w:sz="4" w:space="0"/>
              <w:bottom w:val="single" w:color="auto" w:sz="4" w:space="0"/>
              <w:right w:val="nil"/>
            </w:tcBorders>
            <w:shd w:val="clear" w:color="auto" w:fill="auto"/>
            <w:noWrap/>
            <w:vAlign w:val="bottom"/>
            <w:hideMark/>
          </w:tcPr>
          <w:p w:rsidRPr="003863EC" w:rsidR="003863EC" w:rsidP="003863EC" w:rsidRDefault="003863EC" w14:paraId="00434F6F" w14:textId="77777777">
            <w:pPr>
              <w:spacing w:after="0" w:line="240" w:lineRule="auto"/>
              <w:rPr>
                <w:rFonts w:eastAsia="Times New Roman" w:cs="Arial"/>
                <w:sz w:val="22"/>
                <w:lang w:eastAsia="en-GB"/>
              </w:rPr>
            </w:pPr>
            <w:r w:rsidRPr="003863EC">
              <w:rPr>
                <w:rFonts w:eastAsia="Times New Roman" w:cs="Arial"/>
                <w:sz w:val="22"/>
                <w:lang w:eastAsia="en-GB"/>
              </w:rPr>
              <w:t>Banks &amp; Other Institutions</w:t>
            </w:r>
          </w:p>
        </w:tc>
        <w:tc>
          <w:tcPr>
            <w:tcW w:w="1422" w:type="dxa"/>
            <w:tcBorders>
              <w:top w:val="nil"/>
              <w:left w:val="single" w:color="auto" w:sz="4" w:space="0"/>
              <w:bottom w:val="nil"/>
              <w:right w:val="single" w:color="auto" w:sz="4" w:space="0"/>
            </w:tcBorders>
            <w:shd w:val="clear" w:color="auto" w:fill="auto"/>
            <w:noWrap/>
            <w:vAlign w:val="bottom"/>
            <w:hideMark/>
          </w:tcPr>
          <w:p w:rsidRPr="003863EC" w:rsidR="003863EC" w:rsidP="003863EC" w:rsidRDefault="003863EC" w14:paraId="314B13AA" w14:textId="77777777">
            <w:pPr>
              <w:spacing w:after="0" w:line="240" w:lineRule="auto"/>
              <w:jc w:val="right"/>
              <w:rPr>
                <w:rFonts w:eastAsia="Times New Roman" w:cs="Arial"/>
                <w:sz w:val="22"/>
                <w:lang w:eastAsia="en-GB"/>
              </w:rPr>
            </w:pPr>
            <w:r w:rsidRPr="003863EC">
              <w:rPr>
                <w:rFonts w:eastAsia="Times New Roman" w:cs="Arial"/>
                <w:sz w:val="22"/>
                <w:lang w:eastAsia="en-GB"/>
              </w:rPr>
              <w:t>0.000</w:t>
            </w:r>
          </w:p>
        </w:tc>
        <w:tc>
          <w:tcPr>
            <w:tcW w:w="1276" w:type="dxa"/>
            <w:tcBorders>
              <w:top w:val="nil"/>
              <w:left w:val="nil"/>
              <w:bottom w:val="nil"/>
              <w:right w:val="single" w:color="auto" w:sz="4" w:space="0"/>
            </w:tcBorders>
            <w:shd w:val="clear" w:color="auto" w:fill="auto"/>
            <w:noWrap/>
            <w:vAlign w:val="bottom"/>
            <w:hideMark/>
          </w:tcPr>
          <w:p w:rsidRPr="003863EC" w:rsidR="003863EC" w:rsidP="003863EC" w:rsidRDefault="003863EC" w14:paraId="283E3F65" w14:textId="77777777">
            <w:pPr>
              <w:spacing w:after="0" w:line="240" w:lineRule="auto"/>
              <w:jc w:val="right"/>
              <w:rPr>
                <w:rFonts w:eastAsia="Times New Roman" w:cs="Arial"/>
                <w:sz w:val="22"/>
                <w:lang w:eastAsia="en-GB"/>
              </w:rPr>
            </w:pPr>
            <w:r w:rsidRPr="003863EC">
              <w:rPr>
                <w:rFonts w:eastAsia="Times New Roman" w:cs="Arial"/>
                <w:sz w:val="22"/>
                <w:lang w:eastAsia="en-GB"/>
              </w:rPr>
              <w:t>0.000</w:t>
            </w:r>
          </w:p>
        </w:tc>
        <w:tc>
          <w:tcPr>
            <w:tcW w:w="1559" w:type="dxa"/>
            <w:tcBorders>
              <w:top w:val="nil"/>
              <w:left w:val="nil"/>
              <w:bottom w:val="nil"/>
              <w:right w:val="single" w:color="auto" w:sz="4" w:space="0"/>
            </w:tcBorders>
            <w:shd w:val="clear" w:color="auto" w:fill="auto"/>
            <w:noWrap/>
            <w:vAlign w:val="bottom"/>
            <w:hideMark/>
          </w:tcPr>
          <w:p w:rsidRPr="003863EC" w:rsidR="003863EC" w:rsidP="003863EC" w:rsidRDefault="003863EC" w14:paraId="7712D75C" w14:textId="77777777">
            <w:pPr>
              <w:spacing w:after="0" w:line="240" w:lineRule="auto"/>
              <w:jc w:val="right"/>
              <w:rPr>
                <w:rFonts w:eastAsia="Times New Roman" w:cs="Arial"/>
                <w:sz w:val="22"/>
                <w:lang w:eastAsia="en-GB"/>
              </w:rPr>
            </w:pPr>
            <w:r w:rsidRPr="003863EC">
              <w:rPr>
                <w:rFonts w:eastAsia="Times New Roman" w:cs="Arial"/>
                <w:sz w:val="22"/>
                <w:lang w:eastAsia="en-GB"/>
              </w:rPr>
              <w:t xml:space="preserve">0.000 </w:t>
            </w:r>
          </w:p>
        </w:tc>
        <w:tc>
          <w:tcPr>
            <w:tcW w:w="1701" w:type="dxa"/>
            <w:tcBorders>
              <w:top w:val="nil"/>
              <w:left w:val="nil"/>
              <w:bottom w:val="nil"/>
              <w:right w:val="single" w:color="auto" w:sz="4" w:space="0"/>
            </w:tcBorders>
            <w:shd w:val="clear" w:color="auto" w:fill="auto"/>
            <w:noWrap/>
            <w:vAlign w:val="bottom"/>
            <w:hideMark/>
          </w:tcPr>
          <w:p w:rsidRPr="003863EC" w:rsidR="003863EC" w:rsidP="003863EC" w:rsidRDefault="003863EC" w14:paraId="28DCE42D" w14:textId="77777777">
            <w:pPr>
              <w:spacing w:after="0" w:line="240" w:lineRule="auto"/>
              <w:jc w:val="right"/>
              <w:rPr>
                <w:rFonts w:eastAsia="Times New Roman" w:cs="Arial"/>
                <w:sz w:val="22"/>
                <w:lang w:eastAsia="en-GB"/>
              </w:rPr>
            </w:pPr>
            <w:r w:rsidRPr="003863EC">
              <w:rPr>
                <w:rFonts w:eastAsia="Times New Roman" w:cs="Arial"/>
                <w:sz w:val="22"/>
                <w:lang w:eastAsia="en-GB"/>
              </w:rPr>
              <w:t>0.000</w:t>
            </w:r>
          </w:p>
        </w:tc>
      </w:tr>
      <w:tr w:rsidRPr="003863EC" w:rsidR="003863EC" w:rsidTr="00672152" w14:paraId="63DFD4ED" w14:textId="77777777">
        <w:trPr>
          <w:trHeight w:val="300"/>
        </w:trPr>
        <w:tc>
          <w:tcPr>
            <w:tcW w:w="3255" w:type="dxa"/>
            <w:tcBorders>
              <w:top w:val="single" w:color="auto" w:sz="4" w:space="0"/>
              <w:left w:val="single" w:color="auto" w:sz="4" w:space="0"/>
              <w:bottom w:val="single" w:color="auto" w:sz="4" w:space="0"/>
              <w:right w:val="nil"/>
            </w:tcBorders>
            <w:shd w:val="clear" w:color="auto" w:fill="B4C6E7" w:themeFill="accent1" w:themeFillTint="66"/>
            <w:noWrap/>
            <w:vAlign w:val="bottom"/>
            <w:hideMark/>
          </w:tcPr>
          <w:p w:rsidRPr="003863EC" w:rsidR="003863EC" w:rsidP="003863EC" w:rsidRDefault="003863EC" w14:paraId="1DCA9307" w14:textId="592A6496">
            <w:pPr>
              <w:spacing w:after="0" w:line="240" w:lineRule="auto"/>
              <w:rPr>
                <w:rFonts w:eastAsia="Times New Roman" w:cs="Arial"/>
                <w:b/>
                <w:bCs/>
                <w:sz w:val="22"/>
                <w:lang w:eastAsia="en-GB"/>
              </w:rPr>
            </w:pPr>
            <w:r w:rsidRPr="003863EC">
              <w:rPr>
                <w:rFonts w:eastAsia="Times New Roman" w:cs="Arial"/>
                <w:b/>
                <w:bCs/>
                <w:sz w:val="22"/>
                <w:lang w:eastAsia="en-GB"/>
              </w:rPr>
              <w:t>Total Temporary Borrowing</w:t>
            </w:r>
          </w:p>
        </w:tc>
        <w:tc>
          <w:tcPr>
            <w:tcW w:w="1422" w:type="dxa"/>
            <w:tcBorders>
              <w:top w:val="single" w:color="auto" w:sz="4" w:space="0"/>
              <w:left w:val="single" w:color="auto" w:sz="4" w:space="0"/>
              <w:bottom w:val="single" w:color="auto" w:sz="4" w:space="0"/>
              <w:right w:val="single" w:color="auto" w:sz="4" w:space="0"/>
            </w:tcBorders>
            <w:shd w:val="clear" w:color="auto" w:fill="B4C6E7" w:themeFill="accent1" w:themeFillTint="66"/>
            <w:noWrap/>
            <w:vAlign w:val="bottom"/>
            <w:hideMark/>
          </w:tcPr>
          <w:p w:rsidRPr="003863EC" w:rsidR="003863EC" w:rsidP="003863EC" w:rsidRDefault="003863EC" w14:paraId="7F773B65" w14:textId="77777777">
            <w:pPr>
              <w:spacing w:after="0" w:line="240" w:lineRule="auto"/>
              <w:jc w:val="right"/>
              <w:rPr>
                <w:rFonts w:eastAsia="Times New Roman" w:cs="Arial"/>
                <w:sz w:val="22"/>
                <w:lang w:eastAsia="en-GB"/>
              </w:rPr>
            </w:pPr>
            <w:r w:rsidRPr="003863EC">
              <w:rPr>
                <w:rFonts w:eastAsia="Times New Roman" w:cs="Arial"/>
                <w:sz w:val="22"/>
                <w:lang w:eastAsia="en-GB"/>
              </w:rPr>
              <w:t>8.000</w:t>
            </w:r>
          </w:p>
        </w:tc>
        <w:tc>
          <w:tcPr>
            <w:tcW w:w="1276" w:type="dxa"/>
            <w:tcBorders>
              <w:top w:val="single" w:color="auto" w:sz="4" w:space="0"/>
              <w:left w:val="nil"/>
              <w:bottom w:val="single" w:color="auto" w:sz="4" w:space="0"/>
              <w:right w:val="single" w:color="auto" w:sz="4" w:space="0"/>
            </w:tcBorders>
            <w:shd w:val="clear" w:color="auto" w:fill="B4C6E7" w:themeFill="accent1" w:themeFillTint="66"/>
            <w:noWrap/>
            <w:vAlign w:val="bottom"/>
            <w:hideMark/>
          </w:tcPr>
          <w:p w:rsidRPr="003863EC" w:rsidR="003863EC" w:rsidP="003863EC" w:rsidRDefault="003863EC" w14:paraId="1C2E9950" w14:textId="77777777">
            <w:pPr>
              <w:spacing w:after="0" w:line="240" w:lineRule="auto"/>
              <w:jc w:val="right"/>
              <w:rPr>
                <w:rFonts w:eastAsia="Times New Roman" w:cs="Arial"/>
                <w:sz w:val="22"/>
                <w:lang w:eastAsia="en-GB"/>
              </w:rPr>
            </w:pPr>
            <w:r w:rsidRPr="003863EC">
              <w:rPr>
                <w:rFonts w:eastAsia="Times New Roman" w:cs="Arial"/>
                <w:sz w:val="22"/>
                <w:lang w:eastAsia="en-GB"/>
              </w:rPr>
              <w:t>28.000</w:t>
            </w:r>
          </w:p>
        </w:tc>
        <w:tc>
          <w:tcPr>
            <w:tcW w:w="1559" w:type="dxa"/>
            <w:tcBorders>
              <w:top w:val="single" w:color="auto" w:sz="4" w:space="0"/>
              <w:left w:val="nil"/>
              <w:bottom w:val="single" w:color="auto" w:sz="4" w:space="0"/>
              <w:right w:val="single" w:color="auto" w:sz="4" w:space="0"/>
            </w:tcBorders>
            <w:shd w:val="clear" w:color="auto" w:fill="B4C6E7" w:themeFill="accent1" w:themeFillTint="66"/>
            <w:noWrap/>
            <w:vAlign w:val="bottom"/>
            <w:hideMark/>
          </w:tcPr>
          <w:p w:rsidRPr="003863EC" w:rsidR="003863EC" w:rsidP="003863EC" w:rsidRDefault="003863EC" w14:paraId="42BC6336" w14:textId="77777777">
            <w:pPr>
              <w:spacing w:after="0" w:line="240" w:lineRule="auto"/>
              <w:jc w:val="right"/>
              <w:rPr>
                <w:rFonts w:eastAsia="Times New Roman" w:cs="Arial"/>
                <w:sz w:val="22"/>
                <w:lang w:eastAsia="en-GB"/>
              </w:rPr>
            </w:pPr>
            <w:r w:rsidRPr="003863EC">
              <w:rPr>
                <w:rFonts w:eastAsia="Times New Roman" w:cs="Arial"/>
                <w:color w:val="FF0000"/>
                <w:sz w:val="22"/>
                <w:lang w:eastAsia="en-GB"/>
              </w:rPr>
              <w:t xml:space="preserve">(20.000) </w:t>
            </w:r>
          </w:p>
        </w:tc>
        <w:tc>
          <w:tcPr>
            <w:tcW w:w="1701" w:type="dxa"/>
            <w:tcBorders>
              <w:top w:val="single" w:color="auto" w:sz="4" w:space="0"/>
              <w:left w:val="nil"/>
              <w:bottom w:val="single" w:color="auto" w:sz="4" w:space="0"/>
              <w:right w:val="single" w:color="auto" w:sz="4" w:space="0"/>
            </w:tcBorders>
            <w:shd w:val="clear" w:color="auto" w:fill="B4C6E7" w:themeFill="accent1" w:themeFillTint="66"/>
            <w:noWrap/>
            <w:vAlign w:val="bottom"/>
            <w:hideMark/>
          </w:tcPr>
          <w:p w:rsidRPr="003863EC" w:rsidR="003863EC" w:rsidP="003863EC" w:rsidRDefault="003863EC" w14:paraId="5036DD97" w14:textId="77777777">
            <w:pPr>
              <w:spacing w:after="0" w:line="240" w:lineRule="auto"/>
              <w:jc w:val="right"/>
              <w:rPr>
                <w:rFonts w:eastAsia="Times New Roman" w:cs="Arial"/>
                <w:sz w:val="22"/>
                <w:lang w:eastAsia="en-GB"/>
              </w:rPr>
            </w:pPr>
            <w:r w:rsidRPr="003863EC">
              <w:rPr>
                <w:rFonts w:eastAsia="Times New Roman" w:cs="Arial"/>
                <w:sz w:val="22"/>
                <w:lang w:eastAsia="en-GB"/>
              </w:rPr>
              <w:t>16.000</w:t>
            </w:r>
          </w:p>
        </w:tc>
      </w:tr>
      <w:tr w:rsidRPr="003863EC" w:rsidR="003863EC" w:rsidTr="00EA4B06" w14:paraId="573EE073" w14:textId="77777777">
        <w:trPr>
          <w:trHeight w:val="285"/>
        </w:trPr>
        <w:tc>
          <w:tcPr>
            <w:tcW w:w="3255" w:type="dxa"/>
            <w:tcBorders>
              <w:top w:val="single" w:color="auto" w:sz="4" w:space="0"/>
              <w:left w:val="single" w:color="auto" w:sz="4" w:space="0"/>
              <w:bottom w:val="single" w:color="auto" w:sz="4" w:space="0"/>
            </w:tcBorders>
            <w:shd w:val="clear" w:color="auto" w:fill="auto"/>
            <w:noWrap/>
            <w:vAlign w:val="bottom"/>
            <w:hideMark/>
          </w:tcPr>
          <w:p w:rsidRPr="003863EC" w:rsidR="003863EC" w:rsidP="003863EC" w:rsidRDefault="003863EC" w14:paraId="1CF87798" w14:textId="77777777">
            <w:pPr>
              <w:spacing w:after="0" w:line="240" w:lineRule="auto"/>
              <w:jc w:val="right"/>
              <w:rPr>
                <w:rFonts w:eastAsia="Times New Roman" w:cs="Arial"/>
                <w:sz w:val="22"/>
                <w:lang w:eastAsia="en-GB"/>
              </w:rPr>
            </w:pPr>
          </w:p>
        </w:tc>
        <w:tc>
          <w:tcPr>
            <w:tcW w:w="1422" w:type="dxa"/>
            <w:tcBorders>
              <w:top w:val="single" w:color="auto" w:sz="4" w:space="0"/>
              <w:bottom w:val="single" w:color="auto" w:sz="4" w:space="0"/>
            </w:tcBorders>
            <w:shd w:val="clear" w:color="auto" w:fill="auto"/>
            <w:noWrap/>
            <w:vAlign w:val="bottom"/>
            <w:hideMark/>
          </w:tcPr>
          <w:p w:rsidRPr="003863EC" w:rsidR="003863EC" w:rsidP="003863EC" w:rsidRDefault="003863EC" w14:paraId="0310C07D" w14:textId="77777777">
            <w:pPr>
              <w:spacing w:after="0" w:line="240" w:lineRule="auto"/>
              <w:rPr>
                <w:rFonts w:eastAsia="Times New Roman" w:cs="Arial"/>
                <w:sz w:val="22"/>
                <w:lang w:eastAsia="en-GB"/>
              </w:rPr>
            </w:pPr>
            <w:r w:rsidRPr="003863EC">
              <w:rPr>
                <w:rFonts w:eastAsia="Times New Roman" w:cs="Arial"/>
                <w:sz w:val="22"/>
                <w:lang w:eastAsia="en-GB"/>
              </w:rPr>
              <w:t> </w:t>
            </w:r>
          </w:p>
        </w:tc>
        <w:tc>
          <w:tcPr>
            <w:tcW w:w="1276" w:type="dxa"/>
            <w:tcBorders>
              <w:top w:val="single" w:color="auto" w:sz="4" w:space="0"/>
              <w:bottom w:val="single" w:color="auto" w:sz="4" w:space="0"/>
            </w:tcBorders>
            <w:shd w:val="clear" w:color="auto" w:fill="auto"/>
            <w:noWrap/>
            <w:vAlign w:val="bottom"/>
            <w:hideMark/>
          </w:tcPr>
          <w:p w:rsidRPr="003863EC" w:rsidR="003863EC" w:rsidP="003863EC" w:rsidRDefault="003863EC" w14:paraId="34B52CB7" w14:textId="77777777">
            <w:pPr>
              <w:spacing w:after="0" w:line="240" w:lineRule="auto"/>
              <w:rPr>
                <w:rFonts w:eastAsia="Times New Roman" w:cs="Arial"/>
                <w:sz w:val="22"/>
                <w:lang w:eastAsia="en-GB"/>
              </w:rPr>
            </w:pPr>
            <w:r w:rsidRPr="003863EC">
              <w:rPr>
                <w:rFonts w:eastAsia="Times New Roman" w:cs="Arial"/>
                <w:sz w:val="22"/>
                <w:lang w:eastAsia="en-GB"/>
              </w:rPr>
              <w:t> </w:t>
            </w:r>
          </w:p>
        </w:tc>
        <w:tc>
          <w:tcPr>
            <w:tcW w:w="1559" w:type="dxa"/>
            <w:tcBorders>
              <w:top w:val="single" w:color="auto" w:sz="4" w:space="0"/>
              <w:bottom w:val="single" w:color="auto" w:sz="4" w:space="0"/>
            </w:tcBorders>
            <w:shd w:val="clear" w:color="auto" w:fill="auto"/>
            <w:noWrap/>
            <w:vAlign w:val="bottom"/>
            <w:hideMark/>
          </w:tcPr>
          <w:p w:rsidRPr="003863EC" w:rsidR="003863EC" w:rsidP="003863EC" w:rsidRDefault="003863EC" w14:paraId="25812FE4" w14:textId="77777777">
            <w:pPr>
              <w:spacing w:after="0" w:line="240" w:lineRule="auto"/>
              <w:rPr>
                <w:rFonts w:eastAsia="Times New Roman" w:cs="Arial"/>
                <w:sz w:val="22"/>
                <w:lang w:eastAsia="en-GB"/>
              </w:rPr>
            </w:pPr>
            <w:r w:rsidRPr="003863EC">
              <w:rPr>
                <w:rFonts w:eastAsia="Times New Roman" w:cs="Arial"/>
                <w:sz w:val="22"/>
                <w:lang w:eastAsia="en-GB"/>
              </w:rPr>
              <w:t> </w:t>
            </w:r>
          </w:p>
        </w:tc>
        <w:tc>
          <w:tcPr>
            <w:tcW w:w="1701" w:type="dxa"/>
            <w:tcBorders>
              <w:top w:val="single" w:color="auto" w:sz="4" w:space="0"/>
              <w:bottom w:val="single" w:color="auto" w:sz="4" w:space="0"/>
              <w:right w:val="single" w:color="auto" w:sz="4" w:space="0"/>
            </w:tcBorders>
            <w:shd w:val="clear" w:color="auto" w:fill="auto"/>
            <w:noWrap/>
            <w:vAlign w:val="bottom"/>
            <w:hideMark/>
          </w:tcPr>
          <w:p w:rsidRPr="003863EC" w:rsidR="003863EC" w:rsidP="003863EC" w:rsidRDefault="003863EC" w14:paraId="68170C47" w14:textId="77777777">
            <w:pPr>
              <w:spacing w:after="0" w:line="240" w:lineRule="auto"/>
              <w:rPr>
                <w:rFonts w:eastAsia="Times New Roman" w:cs="Arial"/>
                <w:sz w:val="22"/>
                <w:lang w:eastAsia="en-GB"/>
              </w:rPr>
            </w:pPr>
            <w:r w:rsidRPr="003863EC">
              <w:rPr>
                <w:rFonts w:eastAsia="Times New Roman" w:cs="Arial"/>
                <w:sz w:val="22"/>
                <w:lang w:eastAsia="en-GB"/>
              </w:rPr>
              <w:t> </w:t>
            </w:r>
          </w:p>
        </w:tc>
      </w:tr>
      <w:tr w:rsidRPr="003863EC" w:rsidR="003863EC" w:rsidTr="00672152" w14:paraId="199AA104" w14:textId="77777777">
        <w:trPr>
          <w:trHeight w:val="300"/>
        </w:trPr>
        <w:tc>
          <w:tcPr>
            <w:tcW w:w="3255" w:type="dxa"/>
            <w:tcBorders>
              <w:top w:val="single" w:color="auto" w:sz="4" w:space="0"/>
              <w:left w:val="single" w:color="auto" w:sz="4" w:space="0"/>
              <w:bottom w:val="single" w:color="auto" w:sz="4" w:space="0"/>
              <w:right w:val="nil"/>
            </w:tcBorders>
            <w:shd w:val="clear" w:color="auto" w:fill="B4C6E7" w:themeFill="accent1" w:themeFillTint="66"/>
            <w:noWrap/>
            <w:vAlign w:val="bottom"/>
            <w:hideMark/>
          </w:tcPr>
          <w:p w:rsidRPr="003863EC" w:rsidR="003863EC" w:rsidP="003863EC" w:rsidRDefault="003863EC" w14:paraId="223581C2" w14:textId="77777777">
            <w:pPr>
              <w:spacing w:after="0" w:line="240" w:lineRule="auto"/>
              <w:rPr>
                <w:rFonts w:eastAsia="Times New Roman" w:cs="Arial"/>
                <w:b/>
                <w:bCs/>
                <w:sz w:val="22"/>
                <w:lang w:eastAsia="en-GB"/>
              </w:rPr>
            </w:pPr>
            <w:r w:rsidRPr="003863EC">
              <w:rPr>
                <w:rFonts w:eastAsia="Times New Roman" w:cs="Arial"/>
                <w:b/>
                <w:bCs/>
                <w:sz w:val="22"/>
                <w:lang w:eastAsia="en-GB"/>
              </w:rPr>
              <w:t>Total Borrowing</w:t>
            </w:r>
          </w:p>
        </w:tc>
        <w:tc>
          <w:tcPr>
            <w:tcW w:w="1422" w:type="dxa"/>
            <w:tcBorders>
              <w:top w:val="single" w:color="auto" w:sz="4" w:space="0"/>
              <w:left w:val="single" w:color="auto" w:sz="4" w:space="0"/>
              <w:bottom w:val="single" w:color="auto" w:sz="4" w:space="0"/>
              <w:right w:val="single" w:color="auto" w:sz="4" w:space="0"/>
            </w:tcBorders>
            <w:shd w:val="clear" w:color="auto" w:fill="B4C6E7" w:themeFill="accent1" w:themeFillTint="66"/>
            <w:noWrap/>
            <w:vAlign w:val="bottom"/>
            <w:hideMark/>
          </w:tcPr>
          <w:p w:rsidRPr="003863EC" w:rsidR="003863EC" w:rsidP="003863EC" w:rsidRDefault="003863EC" w14:paraId="79BFAB1E" w14:textId="77777777">
            <w:pPr>
              <w:spacing w:after="0" w:line="240" w:lineRule="auto"/>
              <w:jc w:val="right"/>
              <w:rPr>
                <w:rFonts w:eastAsia="Times New Roman" w:cs="Arial"/>
                <w:b/>
                <w:bCs/>
                <w:sz w:val="22"/>
                <w:lang w:eastAsia="en-GB"/>
              </w:rPr>
            </w:pPr>
            <w:r w:rsidRPr="003863EC">
              <w:rPr>
                <w:rFonts w:eastAsia="Times New Roman" w:cs="Arial"/>
                <w:b/>
                <w:bCs/>
                <w:sz w:val="22"/>
                <w:lang w:eastAsia="en-GB"/>
              </w:rPr>
              <w:t>70.370</w:t>
            </w:r>
          </w:p>
        </w:tc>
        <w:tc>
          <w:tcPr>
            <w:tcW w:w="1276" w:type="dxa"/>
            <w:tcBorders>
              <w:top w:val="single" w:color="auto" w:sz="4" w:space="0"/>
              <w:left w:val="nil"/>
              <w:bottom w:val="single" w:color="auto" w:sz="4" w:space="0"/>
              <w:right w:val="single" w:color="auto" w:sz="4" w:space="0"/>
            </w:tcBorders>
            <w:shd w:val="clear" w:color="auto" w:fill="B4C6E7" w:themeFill="accent1" w:themeFillTint="66"/>
            <w:noWrap/>
            <w:vAlign w:val="bottom"/>
            <w:hideMark/>
          </w:tcPr>
          <w:p w:rsidRPr="003863EC" w:rsidR="003863EC" w:rsidP="003863EC" w:rsidRDefault="003863EC" w14:paraId="49148E37" w14:textId="77777777">
            <w:pPr>
              <w:spacing w:after="0" w:line="240" w:lineRule="auto"/>
              <w:jc w:val="right"/>
              <w:rPr>
                <w:rFonts w:eastAsia="Times New Roman" w:cs="Arial"/>
                <w:b/>
                <w:bCs/>
                <w:sz w:val="22"/>
                <w:lang w:eastAsia="en-GB"/>
              </w:rPr>
            </w:pPr>
            <w:r w:rsidRPr="003863EC">
              <w:rPr>
                <w:rFonts w:eastAsia="Times New Roman" w:cs="Arial"/>
                <w:b/>
                <w:bCs/>
                <w:sz w:val="22"/>
                <w:lang w:eastAsia="en-GB"/>
              </w:rPr>
              <w:t>28.000</w:t>
            </w:r>
          </w:p>
        </w:tc>
        <w:tc>
          <w:tcPr>
            <w:tcW w:w="1559" w:type="dxa"/>
            <w:tcBorders>
              <w:top w:val="single" w:color="auto" w:sz="4" w:space="0"/>
              <w:left w:val="nil"/>
              <w:bottom w:val="single" w:color="auto" w:sz="4" w:space="0"/>
              <w:right w:val="single" w:color="auto" w:sz="4" w:space="0"/>
            </w:tcBorders>
            <w:shd w:val="clear" w:color="auto" w:fill="B4C6E7" w:themeFill="accent1" w:themeFillTint="66"/>
            <w:noWrap/>
            <w:vAlign w:val="bottom"/>
            <w:hideMark/>
          </w:tcPr>
          <w:p w:rsidRPr="003863EC" w:rsidR="003863EC" w:rsidP="003863EC" w:rsidRDefault="003863EC" w14:paraId="34A0B89C" w14:textId="77777777">
            <w:pPr>
              <w:spacing w:after="0" w:line="240" w:lineRule="auto"/>
              <w:jc w:val="right"/>
              <w:rPr>
                <w:rFonts w:eastAsia="Times New Roman" w:cs="Arial"/>
                <w:b/>
                <w:bCs/>
                <w:sz w:val="22"/>
                <w:lang w:eastAsia="en-GB"/>
              </w:rPr>
            </w:pPr>
            <w:r w:rsidRPr="003863EC">
              <w:rPr>
                <w:rFonts w:eastAsia="Times New Roman" w:cs="Arial"/>
                <w:b/>
                <w:bCs/>
                <w:color w:val="FF0000"/>
                <w:sz w:val="22"/>
                <w:lang w:eastAsia="en-GB"/>
              </w:rPr>
              <w:t xml:space="preserve">(22.549) </w:t>
            </w:r>
          </w:p>
        </w:tc>
        <w:tc>
          <w:tcPr>
            <w:tcW w:w="1701" w:type="dxa"/>
            <w:tcBorders>
              <w:top w:val="single" w:color="auto" w:sz="4" w:space="0"/>
              <w:left w:val="nil"/>
              <w:bottom w:val="single" w:color="auto" w:sz="4" w:space="0"/>
              <w:right w:val="single" w:color="auto" w:sz="4" w:space="0"/>
            </w:tcBorders>
            <w:shd w:val="clear" w:color="auto" w:fill="B4C6E7" w:themeFill="accent1" w:themeFillTint="66"/>
            <w:noWrap/>
            <w:vAlign w:val="bottom"/>
            <w:hideMark/>
          </w:tcPr>
          <w:p w:rsidRPr="003863EC" w:rsidR="003863EC" w:rsidP="003863EC" w:rsidRDefault="003863EC" w14:paraId="14D71057" w14:textId="77777777">
            <w:pPr>
              <w:spacing w:after="0" w:line="240" w:lineRule="auto"/>
              <w:jc w:val="right"/>
              <w:rPr>
                <w:rFonts w:eastAsia="Times New Roman" w:cs="Arial"/>
                <w:b/>
                <w:bCs/>
                <w:sz w:val="22"/>
                <w:lang w:eastAsia="en-GB"/>
              </w:rPr>
            </w:pPr>
            <w:r w:rsidRPr="003863EC">
              <w:rPr>
                <w:rFonts w:eastAsia="Times New Roman" w:cs="Arial"/>
                <w:b/>
                <w:bCs/>
                <w:sz w:val="22"/>
                <w:lang w:eastAsia="en-GB"/>
              </w:rPr>
              <w:t>75.821</w:t>
            </w:r>
          </w:p>
        </w:tc>
      </w:tr>
    </w:tbl>
    <w:p w:rsidR="00CD3F0C" w:rsidP="00EA4B06" w:rsidRDefault="00CD3F0C" w14:paraId="4A590D4C" w14:textId="7B6AFA0A">
      <w:pPr>
        <w:spacing w:after="0" w:line="240" w:lineRule="auto"/>
        <w:ind w:left="425"/>
        <w:jc w:val="both"/>
        <w:rPr>
          <w:rFonts w:cs="Arial"/>
          <w:szCs w:val="24"/>
        </w:rPr>
      </w:pPr>
    </w:p>
    <w:p w:rsidRPr="00AD3BF8" w:rsidR="00CD3F0C" w:rsidP="00CD3F0C" w:rsidRDefault="00CD3F0C" w14:paraId="5B776F62" w14:textId="7A5A1C6C">
      <w:pPr>
        <w:ind w:left="426"/>
        <w:jc w:val="both"/>
        <w:rPr>
          <w:rFonts w:cs="Arial"/>
          <w:szCs w:val="24"/>
        </w:rPr>
      </w:pPr>
      <w:r w:rsidRPr="00AD3BF8">
        <w:rPr>
          <w:rFonts w:cs="Arial"/>
          <w:szCs w:val="24"/>
        </w:rPr>
        <w:t xml:space="preserve">By the year end it is anticipated that there will be external </w:t>
      </w:r>
      <w:r w:rsidRPr="00140256">
        <w:rPr>
          <w:rFonts w:cs="Arial"/>
          <w:szCs w:val="24"/>
        </w:rPr>
        <w:t xml:space="preserve">borrowing </w:t>
      </w:r>
      <w:r w:rsidRPr="0052788D">
        <w:rPr>
          <w:rFonts w:cs="Arial"/>
          <w:szCs w:val="24"/>
        </w:rPr>
        <w:t>of £70.</w:t>
      </w:r>
      <w:r w:rsidRPr="0052788D" w:rsidR="0052788D">
        <w:rPr>
          <w:rFonts w:cs="Arial"/>
          <w:szCs w:val="24"/>
        </w:rPr>
        <w:t>6</w:t>
      </w:r>
      <w:r w:rsidRPr="0052788D">
        <w:rPr>
          <w:rFonts w:cs="Arial"/>
          <w:szCs w:val="24"/>
        </w:rPr>
        <w:t>m</w:t>
      </w:r>
      <w:r w:rsidRPr="00140256">
        <w:rPr>
          <w:rFonts w:cs="Arial"/>
          <w:szCs w:val="24"/>
        </w:rPr>
        <w:t xml:space="preserve"> compared to </w:t>
      </w:r>
      <w:r w:rsidR="0052788D">
        <w:rPr>
          <w:rFonts w:cs="Arial"/>
          <w:szCs w:val="24"/>
        </w:rPr>
        <w:t>the current</w:t>
      </w:r>
      <w:r w:rsidRPr="00140256">
        <w:rPr>
          <w:rFonts w:cs="Arial"/>
          <w:szCs w:val="24"/>
        </w:rPr>
        <w:t xml:space="preserve"> CFR of £</w:t>
      </w:r>
      <w:r w:rsidR="003863EC">
        <w:rPr>
          <w:rFonts w:cs="Arial"/>
          <w:szCs w:val="24"/>
        </w:rPr>
        <w:t>70</w:t>
      </w:r>
      <w:r w:rsidRPr="00140256">
        <w:rPr>
          <w:rFonts w:cs="Arial"/>
          <w:szCs w:val="24"/>
        </w:rPr>
        <w:t>m</w:t>
      </w:r>
      <w:r w:rsidR="0052788D">
        <w:rPr>
          <w:rFonts w:cs="Arial"/>
          <w:szCs w:val="24"/>
        </w:rPr>
        <w:t>, £80m being the recommended limit in this report</w:t>
      </w:r>
      <w:r w:rsidRPr="00140256">
        <w:rPr>
          <w:rFonts w:cs="Arial"/>
          <w:szCs w:val="24"/>
        </w:rPr>
        <w:t xml:space="preserve">. </w:t>
      </w:r>
    </w:p>
    <w:p w:rsidRPr="00EA4B06" w:rsidR="00D36FD2" w:rsidP="008C270D" w:rsidRDefault="00CD3F0C" w14:paraId="35B6DCFC" w14:textId="6E9AD146">
      <w:pPr>
        <w:ind w:left="426"/>
        <w:jc w:val="both"/>
        <w:rPr>
          <w:rFonts w:cs="Arial"/>
          <w:color w:val="FF0000"/>
          <w:szCs w:val="24"/>
        </w:rPr>
      </w:pPr>
      <w:r w:rsidRPr="00AD3BF8">
        <w:rPr>
          <w:rFonts w:cs="Arial"/>
          <w:szCs w:val="24"/>
        </w:rPr>
        <w:t>The actual am</w:t>
      </w:r>
      <w:r>
        <w:rPr>
          <w:rFonts w:cs="Arial"/>
          <w:szCs w:val="24"/>
        </w:rPr>
        <w:t>ount</w:t>
      </w:r>
      <w:r w:rsidRPr="00AD3BF8">
        <w:rPr>
          <w:rFonts w:cs="Arial"/>
          <w:szCs w:val="24"/>
        </w:rPr>
        <w:t xml:space="preserve"> borrowed and the timing thereof is</w:t>
      </w:r>
      <w:r>
        <w:rPr>
          <w:rFonts w:cs="Arial"/>
          <w:szCs w:val="24"/>
        </w:rPr>
        <w:t xml:space="preserve"> at</w:t>
      </w:r>
      <w:r w:rsidRPr="00AD3BF8">
        <w:rPr>
          <w:rFonts w:cs="Arial"/>
          <w:szCs w:val="24"/>
        </w:rPr>
        <w:t xml:space="preserve"> the judgement of the </w:t>
      </w:r>
      <w:r w:rsidR="00672152">
        <w:rPr>
          <w:rFonts w:cs="Arial"/>
          <w:szCs w:val="24"/>
        </w:rPr>
        <w:t>C</w:t>
      </w:r>
      <w:r w:rsidR="000A5FFA">
        <w:rPr>
          <w:rFonts w:cs="Arial"/>
          <w:szCs w:val="24"/>
        </w:rPr>
        <w:t xml:space="preserve">hief </w:t>
      </w:r>
      <w:r w:rsidR="00672152">
        <w:rPr>
          <w:rFonts w:cs="Arial"/>
          <w:szCs w:val="24"/>
        </w:rPr>
        <w:t>C</w:t>
      </w:r>
      <w:r w:rsidR="000A5FFA">
        <w:rPr>
          <w:rFonts w:cs="Arial"/>
          <w:szCs w:val="24"/>
        </w:rPr>
        <w:t xml:space="preserve">onstables </w:t>
      </w:r>
      <w:r w:rsidRPr="00AD3BF8">
        <w:rPr>
          <w:rFonts w:cs="Arial"/>
          <w:szCs w:val="24"/>
        </w:rPr>
        <w:t xml:space="preserve">CFO with due regard to market conditions. </w:t>
      </w:r>
      <w:r w:rsidRPr="00B37E23">
        <w:rPr>
          <w:rFonts w:cs="Arial"/>
          <w:szCs w:val="24"/>
        </w:rPr>
        <w:t xml:space="preserve">There has been no PWLB </w:t>
      </w:r>
      <w:r w:rsidRPr="00B37E23" w:rsidR="003863EC">
        <w:rPr>
          <w:rFonts w:cs="Arial"/>
          <w:szCs w:val="24"/>
        </w:rPr>
        <w:t>or other long</w:t>
      </w:r>
      <w:r w:rsidRPr="00B37E23" w:rsidR="0052788D">
        <w:rPr>
          <w:rFonts w:cs="Arial"/>
          <w:szCs w:val="24"/>
        </w:rPr>
        <w:t>-</w:t>
      </w:r>
      <w:r w:rsidRPr="00B37E23" w:rsidR="003863EC">
        <w:rPr>
          <w:rFonts w:cs="Arial"/>
          <w:szCs w:val="24"/>
        </w:rPr>
        <w:t xml:space="preserve">term borrowing </w:t>
      </w:r>
      <w:r w:rsidRPr="00B37E23" w:rsidR="00B37E23">
        <w:rPr>
          <w:rFonts w:cs="Arial"/>
          <w:szCs w:val="24"/>
        </w:rPr>
        <w:t>in 2022/23 up to 31</w:t>
      </w:r>
      <w:r w:rsidRPr="00B37E23" w:rsidR="00B37E23">
        <w:rPr>
          <w:rFonts w:cs="Arial"/>
          <w:szCs w:val="24"/>
          <w:vertAlign w:val="superscript"/>
        </w:rPr>
        <w:t>st</w:t>
      </w:r>
      <w:r w:rsidRPr="00B37E23" w:rsidR="00B37E23">
        <w:rPr>
          <w:rFonts w:cs="Arial"/>
          <w:szCs w:val="24"/>
        </w:rPr>
        <w:t xml:space="preserve"> October 2022 but it is expected some additional borrowing will be undertaking during the remainder of the financial </w:t>
      </w:r>
      <w:r w:rsidRPr="00B37E23">
        <w:rPr>
          <w:rFonts w:cs="Arial"/>
          <w:szCs w:val="24"/>
        </w:rPr>
        <w:t>year.</w:t>
      </w:r>
    </w:p>
    <w:p w:rsidRPr="00D36FD2" w:rsidR="00CD3F0C" w:rsidP="008C270D" w:rsidRDefault="00CD3F0C" w14:paraId="4622F052" w14:textId="2939A5DD">
      <w:pPr>
        <w:ind w:left="426"/>
        <w:jc w:val="both"/>
        <w:rPr>
          <w:color w:val="0D0D0D" w:themeColor="text1" w:themeTint="F2"/>
          <w:szCs w:val="24"/>
        </w:rPr>
      </w:pPr>
      <w:r w:rsidRPr="00D36FD2">
        <w:rPr>
          <w:color w:val="0D0D0D" w:themeColor="text1" w:themeTint="F2"/>
          <w:szCs w:val="24"/>
          <w:lang w:val="en-AU"/>
        </w:rPr>
        <w:t>PWLB rates varied within a relatively narrow range between April and Ju</w:t>
      </w:r>
      <w:r w:rsidRPr="00D36FD2" w:rsidR="00D36FD2">
        <w:rPr>
          <w:color w:val="0D0D0D" w:themeColor="text1" w:themeTint="F2"/>
          <w:szCs w:val="24"/>
          <w:lang w:val="en-AU"/>
        </w:rPr>
        <w:t>ne</w:t>
      </w:r>
      <w:r w:rsidRPr="00D36FD2">
        <w:rPr>
          <w:color w:val="0D0D0D" w:themeColor="text1" w:themeTint="F2"/>
          <w:szCs w:val="24"/>
          <w:lang w:val="en-AU"/>
        </w:rPr>
        <w:t xml:space="preserve"> but th</w:t>
      </w:r>
      <w:r w:rsidRPr="00D36FD2" w:rsidR="00D36FD2">
        <w:rPr>
          <w:color w:val="0D0D0D" w:themeColor="text1" w:themeTint="F2"/>
          <w:szCs w:val="24"/>
          <w:lang w:val="en-AU"/>
        </w:rPr>
        <w:t>is position moved significantly during the second quarter of the year</w:t>
      </w:r>
      <w:r w:rsidRPr="00D36FD2">
        <w:rPr>
          <w:color w:val="0D0D0D" w:themeColor="text1" w:themeTint="F2"/>
          <w:szCs w:val="24"/>
          <w:lang w:val="en-AU"/>
        </w:rPr>
        <w:t>.</w:t>
      </w:r>
      <w:r w:rsidRPr="00D36FD2">
        <w:rPr>
          <w:color w:val="0D0D0D" w:themeColor="text1" w:themeTint="F2"/>
          <w:szCs w:val="24"/>
        </w:rPr>
        <w:t xml:space="preserve"> The 50-year PWLB target rate for new long-term borrowing </w:t>
      </w:r>
      <w:r w:rsidRPr="00D36FD2" w:rsidR="00D36FD2">
        <w:rPr>
          <w:color w:val="0D0D0D" w:themeColor="text1" w:themeTint="F2"/>
          <w:szCs w:val="24"/>
        </w:rPr>
        <w:t xml:space="preserve">is now 5.0% a significant rise from the previous position of </w:t>
      </w:r>
      <w:r w:rsidRPr="00D36FD2">
        <w:rPr>
          <w:color w:val="0D0D0D" w:themeColor="text1" w:themeTint="F2"/>
          <w:szCs w:val="24"/>
        </w:rPr>
        <w:t>2.30%.</w:t>
      </w:r>
    </w:p>
    <w:p w:rsidRPr="003863EC" w:rsidR="00CD3F0C" w:rsidP="00CD3F0C" w:rsidRDefault="00477887" w14:paraId="456A44DE" w14:textId="1C73A3B4">
      <w:pPr>
        <w:spacing w:line="271" w:lineRule="auto"/>
        <w:ind w:left="426"/>
        <w:jc w:val="both"/>
        <w:rPr>
          <w:rFonts w:cs="Arial"/>
          <w:szCs w:val="24"/>
          <w:highlight w:val="yellow"/>
        </w:rPr>
      </w:pPr>
      <w:r w:rsidRPr="00601901">
        <w:rPr>
          <w:noProof/>
        </w:rPr>
        <w:drawing>
          <wp:inline distT="0" distB="0" distL="0" distR="0" wp14:anchorId="1B5BF8D9" wp14:editId="720CAAD7">
            <wp:extent cx="5837767" cy="1333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38833" cy="1333744"/>
                    </a:xfrm>
                    <a:prstGeom prst="rect">
                      <a:avLst/>
                    </a:prstGeom>
                    <a:noFill/>
                    <a:ln>
                      <a:noFill/>
                    </a:ln>
                  </pic:spPr>
                </pic:pic>
              </a:graphicData>
            </a:graphic>
          </wp:inline>
        </w:drawing>
      </w:r>
    </w:p>
    <w:p w:rsidRPr="003863EC" w:rsidR="00CD3F0C" w:rsidP="00CD3F0C" w:rsidRDefault="00CD3F0C" w14:paraId="18E0D2A4" w14:textId="37CD1D6E">
      <w:pPr>
        <w:spacing w:line="271" w:lineRule="auto"/>
        <w:ind w:left="840" w:firstLine="294"/>
        <w:jc w:val="both"/>
        <w:rPr>
          <w:rFonts w:cs="Arial"/>
          <w:szCs w:val="24"/>
          <w:highlight w:val="yellow"/>
        </w:rPr>
      </w:pPr>
    </w:p>
    <w:p w:rsidRPr="003863EC" w:rsidR="00CD3F0C" w:rsidP="00CD3F0C" w:rsidRDefault="00477887" w14:paraId="03FD96D4" w14:textId="0CA7A227">
      <w:pPr>
        <w:spacing w:line="271" w:lineRule="auto"/>
        <w:ind w:left="426"/>
        <w:jc w:val="both"/>
        <w:rPr>
          <w:rFonts w:cs="Arial"/>
          <w:szCs w:val="24"/>
          <w:highlight w:val="yellow"/>
        </w:rPr>
      </w:pPr>
      <w:r>
        <w:rPr>
          <w:noProof/>
        </w:rPr>
        <w:lastRenderedPageBreak/>
        <w:drawing>
          <wp:inline distT="0" distB="0" distL="0" distR="0" wp14:anchorId="16045876" wp14:editId="2EAD7F01">
            <wp:extent cx="5553710" cy="2777765"/>
            <wp:effectExtent l="0" t="0" r="8890" b="3810"/>
            <wp:docPr id="1" name="Chart 1">
              <a:extLst xmlns:a="http://schemas.openxmlformats.org/drawingml/2006/main">
                <a:ext uri="{FF2B5EF4-FFF2-40B4-BE49-F238E27FC236}">
                  <a16:creationId xmlns:a16="http://schemas.microsoft.com/office/drawing/2014/main" id="{40B628B4-7A08-4335-AD37-38FC140209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Pr="00AD3BF8" w:rsidR="0066248D" w:rsidP="008D5C1E" w:rsidRDefault="0066248D" w14:paraId="396FE84C" w14:textId="6C73E265">
      <w:pPr>
        <w:pBdr>
          <w:top w:val="single" w:color="auto" w:sz="4" w:space="1"/>
          <w:left w:val="single" w:color="auto" w:sz="4" w:space="4"/>
          <w:bottom w:val="single" w:color="auto" w:sz="4" w:space="1"/>
          <w:right w:val="single" w:color="auto" w:sz="4" w:space="4"/>
        </w:pBdr>
        <w:spacing w:before="240" w:after="120" w:line="271" w:lineRule="auto"/>
        <w:ind w:left="426" w:hanging="710"/>
        <w:jc w:val="both"/>
        <w:rPr>
          <w:rStyle w:val="Heading1Char"/>
          <w:rFonts w:eastAsia="Calibri"/>
          <w:szCs w:val="28"/>
        </w:rPr>
      </w:pPr>
      <w:r>
        <w:rPr>
          <w:rStyle w:val="Heading1Char"/>
          <w:rFonts w:eastAsia="Calibri"/>
          <w:szCs w:val="28"/>
        </w:rPr>
        <w:t xml:space="preserve">7. </w:t>
      </w:r>
      <w:r w:rsidRPr="00AD3BF8">
        <w:rPr>
          <w:rStyle w:val="Heading1Char"/>
          <w:rFonts w:eastAsia="Calibri"/>
          <w:szCs w:val="28"/>
        </w:rPr>
        <w:t xml:space="preserve">Review of Minimum Revenue Provision Policy Statement </w:t>
      </w:r>
    </w:p>
    <w:p w:rsidRPr="00AD3BF8" w:rsidR="0066248D" w:rsidP="0066248D" w:rsidRDefault="0066248D" w14:paraId="57C1053F" w14:textId="7238C61C">
      <w:pPr>
        <w:spacing w:line="271" w:lineRule="auto"/>
        <w:ind w:left="426" w:hanging="710"/>
        <w:jc w:val="both"/>
        <w:rPr>
          <w:rFonts w:cs="Arial"/>
          <w:szCs w:val="24"/>
        </w:rPr>
      </w:pPr>
      <w:r w:rsidRPr="00AD3BF8">
        <w:rPr>
          <w:rFonts w:cs="Arial"/>
          <w:szCs w:val="24"/>
        </w:rPr>
        <w:t>7.1</w:t>
      </w:r>
      <w:r w:rsidRPr="00AD3BF8">
        <w:rPr>
          <w:rFonts w:cs="Arial"/>
          <w:szCs w:val="24"/>
        </w:rPr>
        <w:tab/>
        <w:t>Introduction</w:t>
      </w:r>
    </w:p>
    <w:p w:rsidRPr="00AD3BF8" w:rsidR="0066248D" w:rsidP="0066248D" w:rsidRDefault="0066248D" w14:paraId="22F323F8" w14:textId="35C855AE">
      <w:pPr>
        <w:spacing w:line="271" w:lineRule="auto"/>
        <w:ind w:left="426"/>
        <w:jc w:val="both"/>
        <w:rPr>
          <w:rFonts w:cs="Arial"/>
          <w:szCs w:val="24"/>
        </w:rPr>
      </w:pPr>
      <w:r w:rsidRPr="00AD3BF8">
        <w:rPr>
          <w:rFonts w:cs="Arial"/>
          <w:szCs w:val="24"/>
        </w:rPr>
        <w:t xml:space="preserve">The </w:t>
      </w:r>
      <w:r>
        <w:rPr>
          <w:rFonts w:cs="Arial"/>
          <w:szCs w:val="24"/>
        </w:rPr>
        <w:t>Organisation</w:t>
      </w:r>
      <w:r w:rsidRPr="00AD3BF8">
        <w:rPr>
          <w:rFonts w:cs="Arial"/>
          <w:szCs w:val="24"/>
        </w:rPr>
        <w:t xml:space="preserve"> repays each year part of the accumulated capital spend (CFR) through a revenue charge (MRP). An additional voluntary payment may also be made (VRP). The MRP can be calculated in various ways but the overarching principles are that the repayment must be prudent and affordable.</w:t>
      </w:r>
    </w:p>
    <w:p w:rsidRPr="00AD3BF8" w:rsidR="0066248D" w:rsidP="0066248D" w:rsidRDefault="0066248D" w14:paraId="6FAE8C89" w14:textId="618BC68E">
      <w:pPr>
        <w:spacing w:line="271" w:lineRule="auto"/>
        <w:ind w:left="426" w:hanging="710"/>
        <w:jc w:val="both"/>
        <w:rPr>
          <w:rFonts w:cs="Arial"/>
          <w:szCs w:val="24"/>
        </w:rPr>
      </w:pPr>
      <w:r w:rsidRPr="00AD3BF8">
        <w:rPr>
          <w:rFonts w:cs="Arial"/>
          <w:szCs w:val="24"/>
        </w:rPr>
        <w:t>7.2</w:t>
      </w:r>
      <w:r w:rsidRPr="00AD3BF8">
        <w:rPr>
          <w:rFonts w:cs="Arial"/>
          <w:szCs w:val="24"/>
        </w:rPr>
        <w:tab/>
        <w:t>The Stated Policy</w:t>
      </w:r>
    </w:p>
    <w:p w:rsidRPr="00AD3BF8" w:rsidR="0066248D" w:rsidP="0066248D" w:rsidRDefault="0066248D" w14:paraId="1652524B" w14:textId="77777777">
      <w:pPr>
        <w:spacing w:line="271" w:lineRule="auto"/>
        <w:ind w:left="426"/>
        <w:jc w:val="both"/>
        <w:rPr>
          <w:rFonts w:cs="Arial"/>
          <w:szCs w:val="24"/>
        </w:rPr>
      </w:pPr>
      <w:r w:rsidRPr="00AD3BF8">
        <w:rPr>
          <w:rFonts w:cs="Arial"/>
          <w:szCs w:val="24"/>
        </w:rPr>
        <w:t>The existing policy was approved by The Commissioner and is as follows:</w:t>
      </w:r>
    </w:p>
    <w:p w:rsidR="0066248D" w:rsidP="00EA4B06" w:rsidRDefault="0066248D" w14:paraId="7B34220C" w14:textId="3E748CA2">
      <w:pPr>
        <w:spacing w:line="271" w:lineRule="auto"/>
        <w:ind w:left="426"/>
        <w:jc w:val="both"/>
        <w:rPr>
          <w:rFonts w:cs="Arial"/>
          <w:i/>
          <w:szCs w:val="24"/>
        </w:rPr>
      </w:pPr>
      <w:r w:rsidRPr="00AD3BF8">
        <w:rPr>
          <w:rFonts w:cs="Arial"/>
          <w:i/>
          <w:szCs w:val="24"/>
        </w:rPr>
        <w:t xml:space="preserve">The Commissioner will set aside an amount for MRP each year, which is deemed to be both prudent and affordable. This will be after considering statutory requirements and relevant guidance from </w:t>
      </w:r>
      <w:r w:rsidR="005040D6">
        <w:rPr>
          <w:rFonts w:cs="Arial"/>
          <w:i/>
          <w:szCs w:val="24"/>
        </w:rPr>
        <w:t>DLUHC</w:t>
      </w:r>
    </w:p>
    <w:p w:rsidRPr="00AD3BF8" w:rsidR="0066248D" w:rsidP="00EA4B06" w:rsidRDefault="0066248D" w14:paraId="3A7CA0EB" w14:textId="77777777">
      <w:pPr>
        <w:spacing w:line="271" w:lineRule="auto"/>
        <w:ind w:left="426"/>
        <w:jc w:val="both"/>
        <w:rPr>
          <w:rFonts w:cs="Arial"/>
          <w:i/>
          <w:szCs w:val="24"/>
        </w:rPr>
      </w:pPr>
      <w:r w:rsidRPr="005040D6">
        <w:rPr>
          <w:rFonts w:cs="Arial"/>
          <w:i/>
          <w:szCs w:val="24"/>
        </w:rPr>
        <w:t>Repayments included in annual PFI or finance leases are applied as MRP.</w:t>
      </w:r>
    </w:p>
    <w:p w:rsidR="0066248D" w:rsidP="00EA4B06" w:rsidRDefault="0066248D" w14:paraId="6D9A444F" w14:textId="3DBFE94F">
      <w:pPr>
        <w:spacing w:after="0" w:line="240" w:lineRule="auto"/>
        <w:ind w:left="426"/>
        <w:jc w:val="both"/>
        <w:rPr>
          <w:rFonts w:cs="Arial"/>
          <w:szCs w:val="24"/>
        </w:rPr>
      </w:pPr>
      <w:r w:rsidRPr="00AD3BF8">
        <w:rPr>
          <w:rFonts w:cs="Arial"/>
          <w:szCs w:val="24"/>
        </w:rPr>
        <w:t>It is considered that this policy is both prudent and affordable, therefore no changes are proposed.</w:t>
      </w:r>
    </w:p>
    <w:p w:rsidRPr="00A87A37" w:rsidR="001B4B61" w:rsidP="00EA4B06" w:rsidRDefault="001B4B61" w14:paraId="1CAD3D94" w14:textId="77777777">
      <w:pPr>
        <w:pStyle w:val="NoSpacing"/>
        <w:ind w:left="709"/>
        <w:jc w:val="both"/>
        <w:rPr>
          <w:rFonts w:ascii="Arial" w:hAnsi="Arial" w:cs="Arial"/>
          <w:sz w:val="24"/>
          <w:szCs w:val="24"/>
          <w:highlight w:val="yellow"/>
        </w:rPr>
      </w:pPr>
    </w:p>
    <w:tbl>
      <w:tblPr>
        <w:tblW w:w="96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634"/>
      </w:tblGrid>
      <w:tr w:rsidRPr="001B54D6" w:rsidR="001B4B61" w:rsidTr="00EA4B06" w14:paraId="109075A2" w14:textId="77777777">
        <w:tc>
          <w:tcPr>
            <w:tcW w:w="9634" w:type="dxa"/>
          </w:tcPr>
          <w:p w:rsidRPr="001B54D6" w:rsidR="001B4B61" w:rsidP="008D5C1E" w:rsidRDefault="008D5C1E" w14:paraId="3D2005EF" w14:textId="01B53F0D">
            <w:pPr>
              <w:pStyle w:val="NoSpacing"/>
              <w:jc w:val="both"/>
              <w:rPr>
                <w:rFonts w:ascii="Arial" w:hAnsi="Arial" w:cs="Arial"/>
                <w:b/>
                <w:sz w:val="24"/>
                <w:szCs w:val="24"/>
              </w:rPr>
            </w:pPr>
            <w:r>
              <w:rPr>
                <w:rFonts w:ascii="Arial" w:hAnsi="Arial" w:cs="Arial"/>
                <w:b/>
                <w:sz w:val="24"/>
                <w:szCs w:val="24"/>
              </w:rPr>
              <w:t>8.</w:t>
            </w:r>
            <w:r w:rsidRPr="001B54D6" w:rsidR="001B4B61">
              <w:rPr>
                <w:rFonts w:ascii="Arial" w:hAnsi="Arial" w:cs="Arial"/>
                <w:b/>
                <w:sz w:val="24"/>
                <w:szCs w:val="24"/>
              </w:rPr>
              <w:t xml:space="preserve"> Human Resources Implications</w:t>
            </w:r>
          </w:p>
        </w:tc>
      </w:tr>
    </w:tbl>
    <w:p w:rsidRPr="001B54D6" w:rsidR="001B4B61" w:rsidP="00EA4B06" w:rsidRDefault="001B4B61" w14:paraId="10FD94E2" w14:textId="77777777">
      <w:pPr>
        <w:pStyle w:val="NoSpacing"/>
        <w:jc w:val="both"/>
        <w:rPr>
          <w:rFonts w:ascii="Arial" w:hAnsi="Arial" w:cs="Arial"/>
          <w:sz w:val="24"/>
          <w:szCs w:val="24"/>
        </w:rPr>
      </w:pPr>
    </w:p>
    <w:p w:rsidR="001B4B61" w:rsidP="00EA4B06" w:rsidRDefault="001B4B61" w14:paraId="6B454B16" w14:textId="1BC78505">
      <w:pPr>
        <w:pStyle w:val="NoSpacing"/>
        <w:jc w:val="both"/>
        <w:rPr>
          <w:rFonts w:ascii="Arial" w:hAnsi="Arial" w:cs="Arial"/>
          <w:sz w:val="24"/>
          <w:szCs w:val="24"/>
        </w:rPr>
      </w:pPr>
      <w:r>
        <w:rPr>
          <w:rFonts w:ascii="Arial" w:hAnsi="Arial" w:cs="Arial"/>
          <w:sz w:val="24"/>
          <w:szCs w:val="24"/>
        </w:rPr>
        <w:t>8.1</w:t>
      </w:r>
      <w:r w:rsidR="008D5C1E">
        <w:rPr>
          <w:rFonts w:ascii="Arial" w:hAnsi="Arial" w:cs="Arial"/>
          <w:sz w:val="24"/>
          <w:szCs w:val="24"/>
        </w:rPr>
        <w:tab/>
      </w:r>
      <w:r w:rsidRPr="001B54D6">
        <w:rPr>
          <w:rFonts w:ascii="Arial" w:hAnsi="Arial" w:cs="Arial"/>
          <w:sz w:val="24"/>
          <w:szCs w:val="24"/>
        </w:rPr>
        <w:t>There are no immediate Human Resource implications arising from this report.</w:t>
      </w:r>
    </w:p>
    <w:p w:rsidRPr="001B54D6" w:rsidR="001B4B61" w:rsidP="00EA4B06" w:rsidRDefault="001B4B61" w14:paraId="5C5E728B" w14:textId="77777777">
      <w:pPr>
        <w:pStyle w:val="NoSpacing"/>
        <w:jc w:val="both"/>
        <w:rPr>
          <w:rFonts w:ascii="Arial" w:hAnsi="Arial" w:cs="Arial"/>
          <w:sz w:val="24"/>
          <w:szCs w:val="24"/>
        </w:rPr>
      </w:pPr>
    </w:p>
    <w:tbl>
      <w:tblPr>
        <w:tblW w:w="96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634"/>
      </w:tblGrid>
      <w:tr w:rsidRPr="001B54D6" w:rsidR="001B4B61" w:rsidTr="00EA4B06" w14:paraId="44A96AD8" w14:textId="77777777">
        <w:tc>
          <w:tcPr>
            <w:tcW w:w="9634" w:type="dxa"/>
          </w:tcPr>
          <w:p w:rsidRPr="001B54D6" w:rsidR="001B4B61" w:rsidP="007B434E" w:rsidRDefault="008D5C1E" w14:paraId="2E5D1989" w14:textId="45D30178">
            <w:pPr>
              <w:pStyle w:val="NoSpacing"/>
              <w:jc w:val="both"/>
              <w:rPr>
                <w:rFonts w:ascii="Arial" w:hAnsi="Arial" w:cs="Arial"/>
                <w:b/>
                <w:sz w:val="24"/>
                <w:szCs w:val="24"/>
              </w:rPr>
            </w:pPr>
            <w:r>
              <w:rPr>
                <w:rFonts w:ascii="Arial" w:hAnsi="Arial" w:cs="Arial"/>
                <w:b/>
                <w:sz w:val="24"/>
                <w:szCs w:val="24"/>
              </w:rPr>
              <w:t>9.</w:t>
            </w:r>
            <w:r w:rsidRPr="001B54D6" w:rsidR="001B4B61">
              <w:rPr>
                <w:rFonts w:ascii="Arial" w:hAnsi="Arial" w:cs="Arial"/>
                <w:b/>
                <w:sz w:val="24"/>
                <w:szCs w:val="24"/>
              </w:rPr>
              <w:t xml:space="preserve"> Equality Implications</w:t>
            </w:r>
          </w:p>
        </w:tc>
      </w:tr>
    </w:tbl>
    <w:p w:rsidRPr="001B54D6" w:rsidR="001B4B61" w:rsidP="001B4B61" w:rsidRDefault="001B4B61" w14:paraId="3274C4A6" w14:textId="77777777">
      <w:pPr>
        <w:pStyle w:val="NoSpacing"/>
        <w:jc w:val="both"/>
        <w:rPr>
          <w:rFonts w:ascii="Arial" w:hAnsi="Arial" w:cs="Arial"/>
          <w:sz w:val="24"/>
          <w:szCs w:val="24"/>
        </w:rPr>
      </w:pPr>
    </w:p>
    <w:p w:rsidRPr="00EA4B06" w:rsidR="00466094" w:rsidP="00EA4B06" w:rsidRDefault="008D5C1E" w14:paraId="7D6DA710" w14:textId="144AEE23">
      <w:pPr>
        <w:pStyle w:val="ListParagraph"/>
        <w:numPr>
          <w:ilvl w:val="1"/>
          <w:numId w:val="12"/>
        </w:numPr>
        <w:spacing w:line="240" w:lineRule="auto"/>
        <w:jc w:val="both"/>
        <w:rPr>
          <w:rFonts w:cs="Arial"/>
          <w:szCs w:val="24"/>
        </w:rPr>
      </w:pPr>
      <w:r>
        <w:rPr>
          <w:rFonts w:cs="Arial"/>
          <w:szCs w:val="24"/>
        </w:rPr>
        <w:t xml:space="preserve">      </w:t>
      </w:r>
      <w:r w:rsidRPr="008D5C1E" w:rsidR="001B4B61">
        <w:rPr>
          <w:rFonts w:cs="Arial"/>
          <w:szCs w:val="24"/>
        </w:rPr>
        <w:t>There are no equality implications arising from this report.</w:t>
      </w:r>
    </w:p>
    <w:tbl>
      <w:tblPr>
        <w:tblW w:w="96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634"/>
      </w:tblGrid>
      <w:tr w:rsidRPr="001B54D6" w:rsidR="001B4B61" w:rsidTr="00EA4B06" w14:paraId="0E42D321" w14:textId="77777777">
        <w:tc>
          <w:tcPr>
            <w:tcW w:w="9634" w:type="dxa"/>
          </w:tcPr>
          <w:p w:rsidRPr="001B54D6" w:rsidR="001B4B61" w:rsidP="007B434E" w:rsidRDefault="001B4B61" w14:paraId="1EED3CD1" w14:textId="77777777">
            <w:pPr>
              <w:pStyle w:val="NoSpacing"/>
              <w:jc w:val="both"/>
              <w:rPr>
                <w:rFonts w:ascii="Arial" w:hAnsi="Arial" w:cs="Arial"/>
                <w:b/>
                <w:sz w:val="24"/>
                <w:szCs w:val="24"/>
              </w:rPr>
            </w:pPr>
            <w:r w:rsidRPr="001B54D6">
              <w:rPr>
                <w:rFonts w:ascii="Arial" w:hAnsi="Arial" w:cs="Arial"/>
                <w:b/>
                <w:sz w:val="24"/>
                <w:szCs w:val="24"/>
              </w:rPr>
              <w:t>8   Risk Management</w:t>
            </w:r>
          </w:p>
        </w:tc>
      </w:tr>
    </w:tbl>
    <w:p w:rsidR="00466094" w:rsidP="00EA4B06" w:rsidRDefault="00466094" w14:paraId="404F423C" w14:textId="77777777">
      <w:pPr>
        <w:spacing w:after="0" w:line="240" w:lineRule="auto"/>
        <w:ind w:left="709" w:hanging="709"/>
        <w:jc w:val="both"/>
        <w:rPr>
          <w:rFonts w:cs="Arial"/>
        </w:rPr>
      </w:pPr>
    </w:p>
    <w:p w:rsidR="001B4B61" w:rsidP="00EA4B06" w:rsidRDefault="001B4B61" w14:paraId="0410853C" w14:textId="50EE0348">
      <w:pPr>
        <w:spacing w:after="0" w:line="240" w:lineRule="auto"/>
        <w:ind w:left="709" w:hanging="709"/>
        <w:jc w:val="both"/>
        <w:rPr>
          <w:rFonts w:cs="Arial"/>
        </w:rPr>
      </w:pPr>
      <w:r w:rsidRPr="001B54D6">
        <w:rPr>
          <w:rFonts w:cs="Arial"/>
        </w:rPr>
        <w:t>8.1</w:t>
      </w:r>
      <w:r w:rsidRPr="001B54D6">
        <w:rPr>
          <w:rFonts w:cs="Arial"/>
        </w:rPr>
        <w:tab/>
      </w:r>
      <w:r>
        <w:rPr>
          <w:rFonts w:cs="Arial"/>
        </w:rPr>
        <w:t>There are no risk implications arising from this report.</w:t>
      </w:r>
    </w:p>
    <w:p w:rsidR="00EA4B06" w:rsidP="00EA4B06" w:rsidRDefault="00EA4B06" w14:paraId="5600CAA7" w14:textId="776B5F47">
      <w:pPr>
        <w:spacing w:after="0" w:line="240" w:lineRule="auto"/>
        <w:ind w:left="709" w:hanging="709"/>
        <w:jc w:val="both"/>
        <w:rPr>
          <w:rFonts w:cs="Arial"/>
        </w:rPr>
      </w:pPr>
    </w:p>
    <w:p w:rsidR="00EA4B06" w:rsidP="00EA4B06" w:rsidRDefault="00EA4B06" w14:paraId="6D33153C" w14:textId="77777777">
      <w:pPr>
        <w:spacing w:after="0" w:line="240" w:lineRule="auto"/>
        <w:ind w:left="709" w:hanging="709"/>
        <w:jc w:val="both"/>
        <w:rPr>
          <w:rFonts w:cs="Arial"/>
        </w:rPr>
      </w:pPr>
    </w:p>
    <w:p w:rsidRPr="001B54D6" w:rsidR="00EA4B06" w:rsidP="00EA4B06" w:rsidRDefault="00EA4B06" w14:paraId="487F81AC" w14:textId="77777777">
      <w:pPr>
        <w:spacing w:after="0" w:line="240" w:lineRule="auto"/>
        <w:ind w:left="709" w:hanging="709"/>
        <w:jc w:val="both"/>
        <w:rPr>
          <w:rFonts w:cs="Arial"/>
        </w:rPr>
      </w:pPr>
    </w:p>
    <w:tbl>
      <w:tblPr>
        <w:tblW w:w="96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634"/>
      </w:tblGrid>
      <w:tr w:rsidRPr="001B54D6" w:rsidR="001B4B61" w:rsidTr="00EA4B06" w14:paraId="1F317836" w14:textId="77777777">
        <w:tc>
          <w:tcPr>
            <w:tcW w:w="9634" w:type="dxa"/>
          </w:tcPr>
          <w:p w:rsidRPr="001B54D6" w:rsidR="001B4B61" w:rsidP="007B434E" w:rsidRDefault="001B4B61" w14:paraId="47F50E46" w14:textId="77777777">
            <w:pPr>
              <w:pStyle w:val="NoSpacing"/>
              <w:jc w:val="both"/>
              <w:rPr>
                <w:rFonts w:ascii="Arial" w:hAnsi="Arial" w:cs="Arial"/>
                <w:b/>
                <w:sz w:val="24"/>
                <w:szCs w:val="24"/>
              </w:rPr>
            </w:pPr>
            <w:r w:rsidRPr="001B54D6">
              <w:rPr>
                <w:rFonts w:ascii="Arial" w:hAnsi="Arial" w:cs="Arial"/>
                <w:b/>
                <w:sz w:val="24"/>
                <w:szCs w:val="24"/>
              </w:rPr>
              <w:lastRenderedPageBreak/>
              <w:t>9   Policy Implications and links to the Police and Crime Plan Priorities</w:t>
            </w:r>
          </w:p>
        </w:tc>
      </w:tr>
    </w:tbl>
    <w:p w:rsidRPr="001B54D6" w:rsidR="001B4B61" w:rsidP="001B4B61" w:rsidRDefault="001B4B61" w14:paraId="47DD6EDB" w14:textId="77777777">
      <w:pPr>
        <w:pStyle w:val="NoSpacing"/>
        <w:jc w:val="both"/>
        <w:rPr>
          <w:rFonts w:ascii="Arial" w:hAnsi="Arial" w:cs="Arial"/>
          <w:sz w:val="24"/>
          <w:szCs w:val="24"/>
        </w:rPr>
      </w:pPr>
    </w:p>
    <w:p w:rsidR="001B4B61" w:rsidP="001B4B61" w:rsidRDefault="001B4B61" w14:paraId="14F2AD17" w14:textId="5BC2951B">
      <w:pPr>
        <w:pStyle w:val="NoSpacing"/>
        <w:numPr>
          <w:ilvl w:val="1"/>
          <w:numId w:val="7"/>
        </w:numPr>
        <w:ind w:left="709" w:hanging="709"/>
        <w:jc w:val="both"/>
        <w:rPr>
          <w:rFonts w:ascii="Arial" w:hAnsi="Arial" w:cs="Arial"/>
          <w:sz w:val="24"/>
          <w:szCs w:val="24"/>
        </w:rPr>
      </w:pPr>
      <w:r w:rsidRPr="001B54D6">
        <w:rPr>
          <w:rFonts w:ascii="Arial" w:hAnsi="Arial" w:cs="Arial"/>
          <w:sz w:val="24"/>
          <w:szCs w:val="24"/>
        </w:rPr>
        <w:t>There are no policy implications arising from this report.</w:t>
      </w:r>
    </w:p>
    <w:p w:rsidRPr="001B54D6" w:rsidR="00EA4B06" w:rsidP="00EA4B06" w:rsidRDefault="00EA4B06" w14:paraId="52DF25D1" w14:textId="77777777">
      <w:pPr>
        <w:pStyle w:val="NoSpacing"/>
        <w:jc w:val="both"/>
        <w:rPr>
          <w:rFonts w:ascii="Arial" w:hAnsi="Arial" w:cs="Arial"/>
          <w:sz w:val="24"/>
          <w:szCs w:val="24"/>
        </w:rPr>
      </w:pPr>
    </w:p>
    <w:tbl>
      <w:tblPr>
        <w:tblW w:w="96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634"/>
      </w:tblGrid>
      <w:tr w:rsidRPr="001B54D6" w:rsidR="001B4B61" w:rsidTr="00EA4B06" w14:paraId="1E94F23A" w14:textId="77777777">
        <w:tc>
          <w:tcPr>
            <w:tcW w:w="9634" w:type="dxa"/>
          </w:tcPr>
          <w:p w:rsidRPr="001B54D6" w:rsidR="001B4B61" w:rsidP="007B434E" w:rsidRDefault="001B4B61" w14:paraId="05801AE8" w14:textId="77777777">
            <w:pPr>
              <w:pStyle w:val="NoSpacing"/>
              <w:jc w:val="both"/>
              <w:rPr>
                <w:rFonts w:ascii="Arial" w:hAnsi="Arial" w:cs="Arial"/>
                <w:b/>
                <w:sz w:val="24"/>
                <w:szCs w:val="24"/>
              </w:rPr>
            </w:pPr>
            <w:r w:rsidRPr="001B54D6">
              <w:rPr>
                <w:rFonts w:ascii="Arial" w:hAnsi="Arial" w:cs="Arial"/>
                <w:b/>
                <w:sz w:val="24"/>
                <w:szCs w:val="24"/>
              </w:rPr>
              <w:t>10   Changes in Legislation or other Legal Considerations</w:t>
            </w:r>
          </w:p>
        </w:tc>
      </w:tr>
    </w:tbl>
    <w:p w:rsidRPr="001B54D6" w:rsidR="001B4B61" w:rsidP="001B4B61" w:rsidRDefault="001B4B61" w14:paraId="531D5A89" w14:textId="77777777">
      <w:pPr>
        <w:pStyle w:val="NoSpacing"/>
        <w:jc w:val="both"/>
        <w:rPr>
          <w:rFonts w:ascii="Arial" w:hAnsi="Arial" w:cs="Arial"/>
          <w:sz w:val="24"/>
          <w:szCs w:val="24"/>
        </w:rPr>
      </w:pPr>
    </w:p>
    <w:p w:rsidRPr="001B54D6" w:rsidR="001B4B61" w:rsidP="001B4B61" w:rsidRDefault="001B4B61" w14:paraId="28270DD7" w14:textId="77777777">
      <w:pPr>
        <w:pStyle w:val="NoSpacing"/>
        <w:ind w:left="709" w:hanging="709"/>
        <w:jc w:val="both"/>
        <w:rPr>
          <w:rFonts w:ascii="Arial" w:hAnsi="Arial" w:cs="Arial"/>
          <w:sz w:val="24"/>
          <w:szCs w:val="24"/>
        </w:rPr>
      </w:pPr>
      <w:r w:rsidRPr="001B54D6">
        <w:rPr>
          <w:rFonts w:ascii="Arial" w:hAnsi="Arial" w:cs="Arial"/>
          <w:sz w:val="24"/>
          <w:szCs w:val="24"/>
        </w:rPr>
        <w:t>10.1</w:t>
      </w:r>
      <w:r w:rsidRPr="001B54D6">
        <w:rPr>
          <w:rFonts w:ascii="Arial" w:hAnsi="Arial" w:cs="Arial"/>
          <w:sz w:val="24"/>
          <w:szCs w:val="24"/>
        </w:rPr>
        <w:tab/>
        <w:t>There are no changes in legislation or other legal considerations that are relevant to this report.</w:t>
      </w:r>
    </w:p>
    <w:p w:rsidRPr="00A87A37" w:rsidR="001B4B61" w:rsidP="001B4B61" w:rsidRDefault="001B4B61" w14:paraId="7D4AC34C" w14:textId="77777777">
      <w:pPr>
        <w:pStyle w:val="NoSpacing"/>
        <w:jc w:val="both"/>
        <w:rPr>
          <w:rFonts w:ascii="Arial" w:hAnsi="Arial" w:cs="Arial"/>
          <w:sz w:val="24"/>
          <w:szCs w:val="24"/>
          <w:highlight w:val="yellow"/>
        </w:rPr>
      </w:pPr>
    </w:p>
    <w:tbl>
      <w:tblPr>
        <w:tblW w:w="96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634"/>
      </w:tblGrid>
      <w:tr w:rsidRPr="001B54D6" w:rsidR="001B4B61" w:rsidTr="00EA4B06" w14:paraId="21E25E09" w14:textId="77777777">
        <w:tc>
          <w:tcPr>
            <w:tcW w:w="9634" w:type="dxa"/>
          </w:tcPr>
          <w:p w:rsidRPr="001B54D6" w:rsidR="001B4B61" w:rsidP="007B434E" w:rsidRDefault="001B4B61" w14:paraId="383344C7" w14:textId="77777777">
            <w:pPr>
              <w:pStyle w:val="NoSpacing"/>
              <w:jc w:val="both"/>
              <w:rPr>
                <w:rFonts w:ascii="Arial" w:hAnsi="Arial" w:cs="Arial"/>
                <w:b/>
                <w:sz w:val="24"/>
                <w:szCs w:val="24"/>
              </w:rPr>
            </w:pPr>
            <w:r w:rsidRPr="001B54D6">
              <w:rPr>
                <w:rFonts w:ascii="Arial" w:hAnsi="Arial" w:cs="Arial"/>
                <w:b/>
                <w:sz w:val="24"/>
                <w:szCs w:val="24"/>
              </w:rPr>
              <w:t>11   Details of outcome of consultation</w:t>
            </w:r>
          </w:p>
        </w:tc>
      </w:tr>
    </w:tbl>
    <w:p w:rsidRPr="001B54D6" w:rsidR="001B4B61" w:rsidP="001B4B61" w:rsidRDefault="001B4B61" w14:paraId="043E4DA6" w14:textId="77777777">
      <w:pPr>
        <w:pStyle w:val="NoSpacing"/>
        <w:jc w:val="both"/>
        <w:rPr>
          <w:rFonts w:ascii="Arial" w:hAnsi="Arial" w:cs="Arial"/>
          <w:sz w:val="24"/>
          <w:szCs w:val="24"/>
        </w:rPr>
      </w:pPr>
    </w:p>
    <w:p w:rsidRPr="00EA4B06" w:rsidR="001B4B61" w:rsidP="001B4B61" w:rsidRDefault="001B4B61" w14:paraId="65358CA1" w14:textId="559F7FCF">
      <w:pPr>
        <w:pStyle w:val="NoSpacing"/>
        <w:ind w:left="720" w:hanging="720"/>
        <w:jc w:val="both"/>
        <w:rPr>
          <w:rFonts w:ascii="Arial" w:hAnsi="Arial" w:cs="Arial"/>
          <w:color w:val="FF0000"/>
          <w:sz w:val="24"/>
          <w:szCs w:val="24"/>
        </w:rPr>
      </w:pPr>
      <w:r w:rsidRPr="00B37E23">
        <w:rPr>
          <w:rFonts w:ascii="Arial" w:hAnsi="Arial" w:cs="Arial"/>
          <w:sz w:val="24"/>
          <w:szCs w:val="24"/>
        </w:rPr>
        <w:t>11.1</w:t>
      </w:r>
      <w:r w:rsidRPr="00B37E23">
        <w:rPr>
          <w:rFonts w:ascii="Arial" w:hAnsi="Arial" w:cs="Arial"/>
          <w:sz w:val="24"/>
          <w:szCs w:val="24"/>
        </w:rPr>
        <w:tab/>
      </w:r>
      <w:r w:rsidRPr="00B37E23" w:rsidR="00B37E23">
        <w:rPr>
          <w:rFonts w:ascii="Arial" w:hAnsi="Arial" w:cs="Arial"/>
          <w:sz w:val="24"/>
          <w:szCs w:val="24"/>
        </w:rPr>
        <w:t>Not applicable</w:t>
      </w:r>
      <w:r w:rsidRPr="00B37E23">
        <w:rPr>
          <w:rFonts w:ascii="Arial" w:hAnsi="Arial" w:cs="Arial"/>
          <w:sz w:val="24"/>
          <w:szCs w:val="24"/>
        </w:rPr>
        <w:t>.</w:t>
      </w:r>
    </w:p>
    <w:p w:rsidRPr="00A87A37" w:rsidR="001B4B61" w:rsidP="001B4B61" w:rsidRDefault="001B4B61" w14:paraId="5260E696" w14:textId="77777777">
      <w:pPr>
        <w:pStyle w:val="NoSpacing"/>
        <w:jc w:val="both"/>
        <w:rPr>
          <w:rFonts w:ascii="Arial" w:hAnsi="Arial" w:cs="Arial"/>
          <w:sz w:val="24"/>
          <w:szCs w:val="24"/>
          <w:highlight w:val="yellow"/>
        </w:rPr>
      </w:pPr>
    </w:p>
    <w:tbl>
      <w:tblPr>
        <w:tblW w:w="96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634"/>
      </w:tblGrid>
      <w:tr w:rsidRPr="00F127FC" w:rsidR="001B4B61" w:rsidTr="00EA4B06" w14:paraId="08749B1B" w14:textId="77777777">
        <w:tc>
          <w:tcPr>
            <w:tcW w:w="9634" w:type="dxa"/>
          </w:tcPr>
          <w:p w:rsidRPr="00F127FC" w:rsidR="001B4B61" w:rsidP="007B434E" w:rsidRDefault="001B4B61" w14:paraId="6A7AEA1F" w14:textId="77777777">
            <w:pPr>
              <w:pStyle w:val="NoSpacing"/>
              <w:ind w:left="426" w:hanging="426"/>
              <w:jc w:val="both"/>
              <w:rPr>
                <w:rFonts w:ascii="Arial" w:hAnsi="Arial" w:cs="Arial"/>
                <w:b/>
                <w:sz w:val="24"/>
                <w:szCs w:val="24"/>
              </w:rPr>
            </w:pPr>
            <w:r w:rsidRPr="00F127FC">
              <w:rPr>
                <w:rFonts w:ascii="Arial" w:hAnsi="Arial" w:cs="Arial"/>
                <w:b/>
                <w:sz w:val="24"/>
                <w:szCs w:val="24"/>
              </w:rPr>
              <w:t xml:space="preserve">12. </w:t>
            </w:r>
            <w:r w:rsidRPr="00F127FC">
              <w:rPr>
                <w:rFonts w:ascii="Arial" w:hAnsi="Arial" w:cs="Arial"/>
                <w:b/>
                <w:sz w:val="24"/>
                <w:szCs w:val="24"/>
              </w:rPr>
              <w:tab/>
              <w:t>Appendices</w:t>
            </w:r>
          </w:p>
        </w:tc>
      </w:tr>
    </w:tbl>
    <w:p w:rsidRPr="00F127FC" w:rsidR="001B4B61" w:rsidP="001B4B61" w:rsidRDefault="001B4B61" w14:paraId="7C6F073D" w14:textId="77777777">
      <w:pPr>
        <w:pStyle w:val="NoSpacing"/>
        <w:jc w:val="both"/>
        <w:rPr>
          <w:rFonts w:ascii="Arial" w:hAnsi="Arial" w:cs="Arial"/>
          <w:sz w:val="24"/>
          <w:szCs w:val="24"/>
        </w:rPr>
      </w:pPr>
    </w:p>
    <w:p w:rsidR="001B4B61" w:rsidP="001B4B61" w:rsidRDefault="001B4B61" w14:paraId="4A75A459" w14:textId="675DF630">
      <w:pPr>
        <w:pStyle w:val="NoSpacing"/>
        <w:jc w:val="both"/>
        <w:rPr>
          <w:rFonts w:ascii="Arial" w:hAnsi="Arial" w:cs="Arial"/>
          <w:sz w:val="24"/>
          <w:szCs w:val="24"/>
        </w:rPr>
      </w:pPr>
      <w:r w:rsidRPr="00F127FC">
        <w:rPr>
          <w:rFonts w:ascii="Arial" w:hAnsi="Arial" w:cs="Arial"/>
          <w:sz w:val="24"/>
          <w:szCs w:val="24"/>
        </w:rPr>
        <w:t>12.1</w:t>
      </w:r>
      <w:r w:rsidRPr="00F127FC">
        <w:rPr>
          <w:rFonts w:ascii="Arial" w:hAnsi="Arial" w:cs="Arial"/>
          <w:sz w:val="24"/>
          <w:szCs w:val="24"/>
        </w:rPr>
        <w:tab/>
      </w:r>
      <w:r>
        <w:rPr>
          <w:rFonts w:ascii="Arial" w:hAnsi="Arial" w:cs="Arial"/>
          <w:sz w:val="24"/>
          <w:szCs w:val="24"/>
        </w:rPr>
        <w:t xml:space="preserve">Appendix A – </w:t>
      </w:r>
      <w:r w:rsidR="00EA4B06">
        <w:rPr>
          <w:rFonts w:ascii="Arial" w:hAnsi="Arial" w:cs="Arial"/>
          <w:sz w:val="24"/>
          <w:szCs w:val="24"/>
        </w:rPr>
        <w:t xml:space="preserve">Updated </w:t>
      </w:r>
      <w:r w:rsidR="00B55DFE">
        <w:rPr>
          <w:rFonts w:ascii="Arial" w:hAnsi="Arial" w:cs="Arial"/>
          <w:sz w:val="24"/>
          <w:szCs w:val="24"/>
        </w:rPr>
        <w:t xml:space="preserve">Draft </w:t>
      </w:r>
      <w:r w:rsidR="008D5C1E">
        <w:rPr>
          <w:rFonts w:ascii="Arial" w:hAnsi="Arial" w:cs="Arial"/>
          <w:sz w:val="24"/>
          <w:szCs w:val="24"/>
        </w:rPr>
        <w:t xml:space="preserve">Treasury </w:t>
      </w:r>
      <w:r w:rsidR="00EA4B06">
        <w:rPr>
          <w:rFonts w:ascii="Arial" w:hAnsi="Arial" w:cs="Arial"/>
          <w:sz w:val="24"/>
          <w:szCs w:val="24"/>
        </w:rPr>
        <w:t xml:space="preserve">Management </w:t>
      </w:r>
      <w:r w:rsidR="008D5C1E">
        <w:rPr>
          <w:rFonts w:ascii="Arial" w:hAnsi="Arial" w:cs="Arial"/>
          <w:sz w:val="24"/>
          <w:szCs w:val="24"/>
        </w:rPr>
        <w:t>Strategy 2022-202</w:t>
      </w:r>
      <w:r w:rsidR="00EA4B06">
        <w:rPr>
          <w:rFonts w:ascii="Arial" w:hAnsi="Arial" w:cs="Arial"/>
          <w:sz w:val="24"/>
          <w:szCs w:val="24"/>
        </w:rPr>
        <w:t>7</w:t>
      </w:r>
      <w:r w:rsidRPr="00F127FC">
        <w:rPr>
          <w:rFonts w:ascii="Arial" w:hAnsi="Arial" w:cs="Arial"/>
          <w:sz w:val="24"/>
          <w:szCs w:val="24"/>
        </w:rPr>
        <w:t>.</w:t>
      </w:r>
      <w:r>
        <w:rPr>
          <w:rFonts w:ascii="Arial" w:hAnsi="Arial" w:cs="Arial"/>
          <w:sz w:val="24"/>
          <w:szCs w:val="24"/>
        </w:rPr>
        <w:t xml:space="preserve">  </w:t>
      </w:r>
    </w:p>
    <w:p w:rsidRPr="00F127FC" w:rsidR="001B4B61" w:rsidP="001B4B61" w:rsidRDefault="001B4B61" w14:paraId="1E2EC778" w14:textId="64516121">
      <w:pPr>
        <w:pStyle w:val="NoSpacing"/>
        <w:ind w:left="851"/>
        <w:jc w:val="both"/>
        <w:rPr>
          <w:rFonts w:ascii="Arial" w:hAnsi="Arial" w:cs="Arial"/>
          <w:sz w:val="24"/>
          <w:szCs w:val="24"/>
        </w:rPr>
      </w:pPr>
    </w:p>
    <w:p w:rsidRPr="00A87A37" w:rsidR="001B4B61" w:rsidP="001B4B61" w:rsidRDefault="001B4B61" w14:paraId="03A717F8" w14:textId="77777777">
      <w:pPr>
        <w:pStyle w:val="NoSpacing"/>
        <w:jc w:val="both"/>
        <w:rPr>
          <w:rFonts w:ascii="Arial" w:hAnsi="Arial" w:cs="Arial"/>
          <w:sz w:val="24"/>
          <w:szCs w:val="24"/>
          <w:highlight w:val="yellow"/>
        </w:rPr>
      </w:pPr>
    </w:p>
    <w:tbl>
      <w:tblPr>
        <w:tblW w:w="96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634"/>
      </w:tblGrid>
      <w:tr w:rsidRPr="002F31C4" w:rsidR="001B4B61" w:rsidTr="00EA4B06" w14:paraId="47BB3962" w14:textId="77777777">
        <w:tc>
          <w:tcPr>
            <w:tcW w:w="9634" w:type="dxa"/>
          </w:tcPr>
          <w:p w:rsidRPr="002F31C4" w:rsidR="001B4B61" w:rsidP="007B434E" w:rsidRDefault="001B4B61" w14:paraId="3C4F429C" w14:textId="1ABA8CA5">
            <w:pPr>
              <w:pStyle w:val="NoSpacing"/>
              <w:ind w:left="426" w:hanging="426"/>
              <w:jc w:val="both"/>
              <w:rPr>
                <w:rFonts w:ascii="Arial" w:hAnsi="Arial" w:cs="Arial"/>
                <w:b/>
                <w:sz w:val="24"/>
                <w:szCs w:val="24"/>
              </w:rPr>
            </w:pPr>
            <w:r w:rsidRPr="002F31C4">
              <w:rPr>
                <w:rFonts w:ascii="Arial" w:hAnsi="Arial" w:cs="Arial"/>
                <w:b/>
                <w:sz w:val="24"/>
                <w:szCs w:val="24"/>
              </w:rPr>
              <w:t xml:space="preserve">13. </w:t>
            </w:r>
            <w:r w:rsidRPr="002F31C4">
              <w:rPr>
                <w:rFonts w:ascii="Arial" w:hAnsi="Arial" w:cs="Arial"/>
                <w:b/>
                <w:sz w:val="24"/>
                <w:szCs w:val="24"/>
              </w:rPr>
              <w:tab/>
              <w:t xml:space="preserve">Background Papers </w:t>
            </w:r>
          </w:p>
        </w:tc>
      </w:tr>
    </w:tbl>
    <w:p w:rsidR="00EA4B06" w:rsidP="00EA4B06" w:rsidRDefault="00EA4B06" w14:paraId="7730180E" w14:textId="77777777">
      <w:pPr>
        <w:pStyle w:val="NoSpacing"/>
        <w:jc w:val="both"/>
        <w:rPr>
          <w:rFonts w:ascii="Arial" w:hAnsi="Arial" w:cs="Arial"/>
          <w:sz w:val="24"/>
          <w:szCs w:val="24"/>
        </w:rPr>
      </w:pPr>
    </w:p>
    <w:p w:rsidRPr="002F31C4" w:rsidR="001B4B61" w:rsidP="00EA4B06" w:rsidRDefault="00EA4B06" w14:paraId="74952EDA" w14:textId="42EB74F0">
      <w:pPr>
        <w:pStyle w:val="NoSpacing"/>
        <w:jc w:val="both"/>
        <w:rPr>
          <w:rFonts w:ascii="Arial" w:hAnsi="Arial" w:cs="Arial"/>
          <w:sz w:val="24"/>
          <w:szCs w:val="24"/>
        </w:rPr>
      </w:pPr>
      <w:r>
        <w:rPr>
          <w:rFonts w:ascii="Arial" w:hAnsi="Arial" w:cs="Arial"/>
          <w:sz w:val="24"/>
          <w:szCs w:val="24"/>
        </w:rPr>
        <w:t>13.1</w:t>
      </w:r>
      <w:r>
        <w:rPr>
          <w:rFonts w:ascii="Arial" w:hAnsi="Arial" w:cs="Arial"/>
          <w:sz w:val="24"/>
          <w:szCs w:val="24"/>
        </w:rPr>
        <w:tab/>
        <w:t>Finance Working Papers</w:t>
      </w:r>
    </w:p>
    <w:p w:rsidR="003863EC" w:rsidP="002A4F15" w:rsidRDefault="003863EC" w14:paraId="211E833F" w14:textId="2A9DBBD0">
      <w:pPr>
        <w:spacing w:line="271" w:lineRule="auto"/>
        <w:ind w:left="414" w:firstLine="12"/>
        <w:jc w:val="both"/>
        <w:rPr>
          <w:rFonts w:cs="Arial"/>
          <w:szCs w:val="24"/>
        </w:rPr>
      </w:pPr>
    </w:p>
    <w:sectPr w:rsidR="003863EC" w:rsidSect="00C7440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DA663" w14:textId="77777777" w:rsidR="00EA57ED" w:rsidRDefault="00EA57ED" w:rsidP="00EA57ED">
      <w:pPr>
        <w:spacing w:after="0" w:line="240" w:lineRule="auto"/>
      </w:pPr>
      <w:r>
        <w:separator/>
      </w:r>
    </w:p>
  </w:endnote>
  <w:endnote w:type="continuationSeparator" w:id="0">
    <w:p w14:paraId="2A305EF3" w14:textId="77777777" w:rsidR="00EA57ED" w:rsidRDefault="00EA57ED" w:rsidP="00EA5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liss 2 Regular">
    <w:altName w:val="Calibri"/>
    <w:panose1 w:val="00000000000000000000"/>
    <w:charset w:val="00"/>
    <w:family w:val="modern"/>
    <w:notTrueType/>
    <w:pitch w:val="variable"/>
    <w:sig w:usb0="00000087" w:usb1="00000000"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B9F25" w14:textId="77777777" w:rsidR="00EA57ED" w:rsidRDefault="00EA57ED" w:rsidP="00EA57ED">
      <w:pPr>
        <w:spacing w:after="0" w:line="240" w:lineRule="auto"/>
      </w:pPr>
      <w:r>
        <w:separator/>
      </w:r>
    </w:p>
  </w:footnote>
  <w:footnote w:type="continuationSeparator" w:id="0">
    <w:p w14:paraId="559A152C" w14:textId="77777777" w:rsidR="00EA57ED" w:rsidRDefault="00EA57ED" w:rsidP="00EA57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5910"/>
    <w:multiLevelType w:val="multilevel"/>
    <w:tmpl w:val="3A32FEF4"/>
    <w:lvl w:ilvl="0">
      <w:start w:val="1"/>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b w:val="0"/>
        <w:bCs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6471429"/>
    <w:multiLevelType w:val="multilevel"/>
    <w:tmpl w:val="6080A2B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385D0A"/>
    <w:multiLevelType w:val="hybridMultilevel"/>
    <w:tmpl w:val="AC9088C6"/>
    <w:lvl w:ilvl="0" w:tplc="55EA5CF6">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FB2C2C"/>
    <w:multiLevelType w:val="hybridMultilevel"/>
    <w:tmpl w:val="90BCEA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8E12F72"/>
    <w:multiLevelType w:val="multilevel"/>
    <w:tmpl w:val="3A32FEF4"/>
    <w:lvl w:ilvl="0">
      <w:start w:val="1"/>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b w:val="0"/>
        <w:bCs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5" w15:restartNumberingAfterBreak="0">
    <w:nsid w:val="23B17061"/>
    <w:multiLevelType w:val="hybridMultilevel"/>
    <w:tmpl w:val="A658E7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526215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54E388D"/>
    <w:multiLevelType w:val="multilevel"/>
    <w:tmpl w:val="7CFA2AE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790339"/>
    <w:multiLevelType w:val="multilevel"/>
    <w:tmpl w:val="A420F78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D0628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F5677D4"/>
    <w:multiLevelType w:val="multilevel"/>
    <w:tmpl w:val="BCD48F4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A34D48"/>
    <w:multiLevelType w:val="multilevel"/>
    <w:tmpl w:val="3A32FEF4"/>
    <w:lvl w:ilvl="0">
      <w:start w:val="1"/>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b w:val="0"/>
        <w:bCs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2" w15:restartNumberingAfterBreak="0">
    <w:nsid w:val="48674C39"/>
    <w:multiLevelType w:val="multilevel"/>
    <w:tmpl w:val="3A32FEF4"/>
    <w:lvl w:ilvl="0">
      <w:start w:val="1"/>
      <w:numFmt w:val="decimal"/>
      <w:lvlText w:val="%1."/>
      <w:lvlJc w:val="left"/>
      <w:pPr>
        <w:ind w:left="360" w:hanging="360"/>
      </w:pPr>
      <w:rPr>
        <w:rFonts w:cs="Times New Roman" w:hint="default"/>
      </w:rPr>
    </w:lvl>
    <w:lvl w:ilvl="1">
      <w:start w:val="1"/>
      <w:numFmt w:val="decimal"/>
      <w:isLgl/>
      <w:lvlText w:val="%1.%2"/>
      <w:lvlJc w:val="left"/>
      <w:pPr>
        <w:ind w:left="0" w:hanging="360"/>
      </w:pPr>
      <w:rPr>
        <w:rFonts w:cs="Times New Roman" w:hint="default"/>
        <w:b w:val="0"/>
        <w:bCs w:val="0"/>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3" w15:restartNumberingAfterBreak="0">
    <w:nsid w:val="60C478D7"/>
    <w:multiLevelType w:val="multilevel"/>
    <w:tmpl w:val="3A32FEF4"/>
    <w:lvl w:ilvl="0">
      <w:start w:val="1"/>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b w:val="0"/>
        <w:bCs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4" w15:restartNumberingAfterBreak="0">
    <w:nsid w:val="628B44F9"/>
    <w:multiLevelType w:val="multilevel"/>
    <w:tmpl w:val="6C0C8DB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C2349AA"/>
    <w:multiLevelType w:val="multilevel"/>
    <w:tmpl w:val="AA9E046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0CB732F"/>
    <w:multiLevelType w:val="multilevel"/>
    <w:tmpl w:val="5B64881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9"/>
  </w:num>
  <w:num w:numId="3">
    <w:abstractNumId w:val="5"/>
  </w:num>
  <w:num w:numId="4">
    <w:abstractNumId w:val="6"/>
  </w:num>
  <w:num w:numId="5">
    <w:abstractNumId w:val="1"/>
  </w:num>
  <w:num w:numId="6">
    <w:abstractNumId w:val="15"/>
  </w:num>
  <w:num w:numId="7">
    <w:abstractNumId w:val="7"/>
  </w:num>
  <w:num w:numId="8">
    <w:abstractNumId w:val="2"/>
  </w:num>
  <w:num w:numId="9">
    <w:abstractNumId w:val="14"/>
  </w:num>
  <w:num w:numId="10">
    <w:abstractNumId w:val="8"/>
  </w:num>
  <w:num w:numId="11">
    <w:abstractNumId w:val="16"/>
  </w:num>
  <w:num w:numId="12">
    <w:abstractNumId w:val="10"/>
  </w:num>
  <w:num w:numId="13">
    <w:abstractNumId w:val="3"/>
  </w:num>
  <w:num w:numId="14">
    <w:abstractNumId w:val="12"/>
  </w:num>
  <w:num w:numId="15">
    <w:abstractNumId w:val="13"/>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23D"/>
    <w:rsid w:val="0001284B"/>
    <w:rsid w:val="00043938"/>
    <w:rsid w:val="000A5FFA"/>
    <w:rsid w:val="00164323"/>
    <w:rsid w:val="001B4B61"/>
    <w:rsid w:val="00217B15"/>
    <w:rsid w:val="00233F64"/>
    <w:rsid w:val="002A4F15"/>
    <w:rsid w:val="003863EC"/>
    <w:rsid w:val="003A58D2"/>
    <w:rsid w:val="003B36A4"/>
    <w:rsid w:val="004159C8"/>
    <w:rsid w:val="00466094"/>
    <w:rsid w:val="00477887"/>
    <w:rsid w:val="004905FC"/>
    <w:rsid w:val="005040D6"/>
    <w:rsid w:val="0052788D"/>
    <w:rsid w:val="00581B4E"/>
    <w:rsid w:val="00600ACF"/>
    <w:rsid w:val="00613B5D"/>
    <w:rsid w:val="0066248D"/>
    <w:rsid w:val="00672152"/>
    <w:rsid w:val="00770AAE"/>
    <w:rsid w:val="007F6823"/>
    <w:rsid w:val="008364C4"/>
    <w:rsid w:val="008C1401"/>
    <w:rsid w:val="008C270D"/>
    <w:rsid w:val="008C4AAB"/>
    <w:rsid w:val="008D5C1E"/>
    <w:rsid w:val="009B623D"/>
    <w:rsid w:val="00B37E23"/>
    <w:rsid w:val="00B55DFE"/>
    <w:rsid w:val="00B64B0E"/>
    <w:rsid w:val="00B96E5B"/>
    <w:rsid w:val="00C70574"/>
    <w:rsid w:val="00C74400"/>
    <w:rsid w:val="00CD3F0C"/>
    <w:rsid w:val="00D36FD2"/>
    <w:rsid w:val="00E97E86"/>
    <w:rsid w:val="00EA4B06"/>
    <w:rsid w:val="00EA57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2F823CD"/>
  <w15:chartTrackingRefBased/>
  <w15:docId w15:val="{0C49A929-E31C-461A-BD6C-A29577751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23D"/>
    <w:pPr>
      <w:spacing w:after="200" w:line="276" w:lineRule="auto"/>
    </w:pPr>
    <w:rPr>
      <w:rFonts w:ascii="Arial" w:eastAsia="Calibri" w:hAnsi="Arial" w:cs="Times New Roman"/>
      <w:sz w:val="24"/>
    </w:rPr>
  </w:style>
  <w:style w:type="paragraph" w:styleId="Heading1">
    <w:name w:val="heading 1"/>
    <w:basedOn w:val="Normal"/>
    <w:next w:val="Normal"/>
    <w:link w:val="Heading1Char"/>
    <w:qFormat/>
    <w:rsid w:val="00CD3F0C"/>
    <w:pPr>
      <w:keepNext/>
      <w:spacing w:before="240" w:after="60" w:line="240" w:lineRule="auto"/>
      <w:outlineLvl w:val="0"/>
    </w:pPr>
    <w:rPr>
      <w:rFonts w:eastAsia="Times New Roman"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9B623D"/>
    <w:pPr>
      <w:spacing w:after="0" w:line="240" w:lineRule="auto"/>
    </w:pPr>
    <w:rPr>
      <w:rFonts w:ascii="Calibri" w:eastAsia="Calibri" w:hAnsi="Calibri" w:cs="Times New Roman"/>
    </w:rPr>
  </w:style>
  <w:style w:type="paragraph" w:styleId="ListParagraph">
    <w:name w:val="List Paragraph"/>
    <w:basedOn w:val="Normal"/>
    <w:uiPriority w:val="99"/>
    <w:qFormat/>
    <w:rsid w:val="009B623D"/>
    <w:pPr>
      <w:ind w:left="720"/>
      <w:contextualSpacing/>
    </w:pPr>
  </w:style>
  <w:style w:type="character" w:customStyle="1" w:styleId="Heading1Char">
    <w:name w:val="Heading 1 Char"/>
    <w:basedOn w:val="DefaultParagraphFont"/>
    <w:link w:val="Heading1"/>
    <w:rsid w:val="00CD3F0C"/>
    <w:rPr>
      <w:rFonts w:ascii="Arial" w:eastAsia="Times New Roman" w:hAnsi="Arial" w:cs="Arial"/>
      <w:b/>
      <w:bCs/>
      <w:kern w:val="32"/>
      <w:sz w:val="28"/>
      <w:szCs w:val="32"/>
    </w:rPr>
  </w:style>
  <w:style w:type="table" w:styleId="TableGrid">
    <w:name w:val="Table Grid"/>
    <w:basedOn w:val="TableNormal"/>
    <w:uiPriority w:val="39"/>
    <w:rsid w:val="00490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29802">
      <w:bodyDiv w:val="1"/>
      <w:marLeft w:val="0"/>
      <w:marRight w:val="0"/>
      <w:marTop w:val="0"/>
      <w:marBottom w:val="0"/>
      <w:divBdr>
        <w:top w:val="none" w:sz="0" w:space="0" w:color="auto"/>
        <w:left w:val="none" w:sz="0" w:space="0" w:color="auto"/>
        <w:bottom w:val="none" w:sz="0" w:space="0" w:color="auto"/>
        <w:right w:val="none" w:sz="0" w:space="0" w:color="auto"/>
      </w:divBdr>
    </w:div>
    <w:div w:id="1014458954">
      <w:bodyDiv w:val="1"/>
      <w:marLeft w:val="0"/>
      <w:marRight w:val="0"/>
      <w:marTop w:val="0"/>
      <w:marBottom w:val="0"/>
      <w:divBdr>
        <w:top w:val="none" w:sz="0" w:space="0" w:color="auto"/>
        <w:left w:val="none" w:sz="0" w:space="0" w:color="auto"/>
        <w:bottom w:val="none" w:sz="0" w:space="0" w:color="auto"/>
        <w:right w:val="none" w:sz="0" w:space="0" w:color="auto"/>
      </w:divBdr>
    </w:div>
    <w:div w:id="146330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npf.internal\dfs\Data\Data03\GroupAccounts\Treasury%20Mgmt%20-%20Invest%20&amp;%20Loan%20Activities\Treasury%20Mgmt%20Report%20Mid%20Year\Mid%20Year%20TM%20Review%202022-23%20-%20ADE%20Investments%20and%20Borrowing%20V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7.7985893045934382E-2"/>
          <c:y val="0.10582108644361693"/>
          <c:w val="0.54671400543869897"/>
          <c:h val="0.76910391616210427"/>
        </c:manualLayout>
      </c:layout>
      <c:pie3DChart>
        <c:varyColors val="1"/>
        <c:ser>
          <c:idx val="0"/>
          <c:order val="0"/>
          <c:tx>
            <c:strRef>
              <c:f>'Debt Maturity'!$O$2</c:f>
              <c:strCache>
                <c:ptCount val="1"/>
                <c:pt idx="0">
                  <c:v>Debt Maturity as at 31/10/22</c:v>
                </c:pt>
              </c:strCache>
            </c:strRef>
          </c:tx>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'Debt Maturity'!$N$3:$N$7</c:f>
              <c:strCache>
                <c:ptCount val="5"/>
                <c:pt idx="0">
                  <c:v>Less than 1 year</c:v>
                </c:pt>
                <c:pt idx="1">
                  <c:v>Between 1 and 2 years</c:v>
                </c:pt>
                <c:pt idx="2">
                  <c:v>Between 2 and 5 years</c:v>
                </c:pt>
                <c:pt idx="3">
                  <c:v>More than 5 years</c:v>
                </c:pt>
                <c:pt idx="4">
                  <c:v>More than 10 years</c:v>
                </c:pt>
              </c:strCache>
            </c:strRef>
          </c:cat>
          <c:val>
            <c:numRef>
              <c:f>'Debt Maturity'!$O$3:$O$7</c:f>
              <c:numCache>
                <c:formatCode>#,##0.00</c:formatCode>
                <c:ptCount val="5"/>
                <c:pt idx="0">
                  <c:v>13000000</c:v>
                </c:pt>
                <c:pt idx="1">
                  <c:v>3000000</c:v>
                </c:pt>
                <c:pt idx="2">
                  <c:v>2646942.94</c:v>
                </c:pt>
                <c:pt idx="3">
                  <c:v>3717948.8</c:v>
                </c:pt>
                <c:pt idx="4">
                  <c:v>53456383.450000003</c:v>
                </c:pt>
              </c:numCache>
            </c:numRef>
          </c:val>
          <c:extLst>
            <c:ext xmlns:c16="http://schemas.microsoft.com/office/drawing/2014/chart" uri="{C3380CC4-5D6E-409C-BE32-E72D297353CC}">
              <c16:uniqueId val="{00000000-4459-400A-9471-A8475D1663AF}"/>
            </c:ext>
          </c:extLst>
        </c:ser>
        <c:ser>
          <c:idx val="1"/>
          <c:order val="1"/>
          <c:tx>
            <c:strRef>
              <c:f>'Debt Maturity'!$P$2</c:f>
              <c:strCache>
                <c:ptCount val="1"/>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'Debt Maturity'!$N$3:$N$7</c:f>
              <c:strCache>
                <c:ptCount val="5"/>
                <c:pt idx="0">
                  <c:v>Less than 1 year</c:v>
                </c:pt>
                <c:pt idx="1">
                  <c:v>Between 1 and 2 years</c:v>
                </c:pt>
                <c:pt idx="2">
                  <c:v>Between 2 and 5 years</c:v>
                </c:pt>
                <c:pt idx="3">
                  <c:v>More than 5 years</c:v>
                </c:pt>
                <c:pt idx="4">
                  <c:v>More than 10 years</c:v>
                </c:pt>
              </c:strCache>
            </c:strRef>
          </c:cat>
          <c:val>
            <c:numRef>
              <c:f>'Debt Maturity'!$P$3:$P$7</c:f>
              <c:numCache>
                <c:formatCode>#,##0</c:formatCode>
                <c:ptCount val="5"/>
                <c:pt idx="0">
                  <c:v>13000</c:v>
                </c:pt>
                <c:pt idx="1">
                  <c:v>3000</c:v>
                </c:pt>
                <c:pt idx="2">
                  <c:v>2647</c:v>
                </c:pt>
                <c:pt idx="3">
                  <c:v>3718</c:v>
                </c:pt>
                <c:pt idx="4">
                  <c:v>53457</c:v>
                </c:pt>
              </c:numCache>
            </c:numRef>
          </c:val>
          <c:extLst>
            <c:ext xmlns:c16="http://schemas.microsoft.com/office/drawing/2014/chart" uri="{C3380CC4-5D6E-409C-BE32-E72D297353CC}">
              <c16:uniqueId val="{00000001-4459-400A-9471-A8475D1663AF}"/>
            </c:ext>
          </c:extLst>
        </c:ser>
        <c:ser>
          <c:idx val="2"/>
          <c:order val="2"/>
          <c:tx>
            <c:strRef>
              <c:f>'Debt Maturity'!$Q$2</c:f>
              <c:strCache>
                <c:ptCount val="1"/>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'Debt Maturity'!$N$3:$N$7</c:f>
              <c:strCache>
                <c:ptCount val="5"/>
                <c:pt idx="0">
                  <c:v>Less than 1 year</c:v>
                </c:pt>
                <c:pt idx="1">
                  <c:v>Between 1 and 2 years</c:v>
                </c:pt>
                <c:pt idx="2">
                  <c:v>Between 2 and 5 years</c:v>
                </c:pt>
                <c:pt idx="3">
                  <c:v>More than 5 years</c:v>
                </c:pt>
                <c:pt idx="4">
                  <c:v>More than 10 years</c:v>
                </c:pt>
              </c:strCache>
            </c:strRef>
          </c:cat>
          <c:val>
            <c:numRef>
              <c:f>'Debt Maturity'!$Q$3:$Q$7</c:f>
              <c:numCache>
                <c:formatCode>0.0%</c:formatCode>
                <c:ptCount val="5"/>
                <c:pt idx="0">
                  <c:v>0.17145583436078318</c:v>
                </c:pt>
                <c:pt idx="1">
                  <c:v>3.9566731006334586E-2</c:v>
                </c:pt>
                <c:pt idx="2">
                  <c:v>3.4910293098698808E-2</c:v>
                </c:pt>
                <c:pt idx="3">
                  <c:v>4.9035693354974819E-2</c:v>
                </c:pt>
                <c:pt idx="4">
                  <c:v>0.70503144817920871</c:v>
                </c:pt>
              </c:numCache>
            </c:numRef>
          </c:val>
          <c:extLst>
            <c:ext xmlns:c16="http://schemas.microsoft.com/office/drawing/2014/chart" uri="{C3380CC4-5D6E-409C-BE32-E72D297353CC}">
              <c16:uniqueId val="{00000002-4459-400A-9471-A8475D1663AF}"/>
            </c:ext>
          </c:extLst>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8</Pages>
  <Words>2461</Words>
  <Characters>14033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Appendix 1 Treasury Management Strategy Mid Year Review  Report Oct 2022 VFinal 241122</dc:title>
  <dc:subject>
  </dc:subject>
  <dc:creator>Mark Kimberley, Chief Finance Officer</dc:creator>
  <cp:keywords>
  </cp:keywords>
  <dc:description>
  </dc:description>
  <cp:lastModifiedBy>Emma Lau</cp:lastModifiedBy>
  <cp:revision>4</cp:revision>
  <dcterms:created xsi:type="dcterms:W3CDTF">2022-11-25T11:31:00Z</dcterms:created>
  <dcterms:modified xsi:type="dcterms:W3CDTF">2022-12-06T14:13:51Z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9a534a-49dd-43c4-b4e5-f206b4dbf0e4_Enabled">
    <vt:lpwstr>true</vt:lpwstr>
  </property>
  <property fmtid="{D5CDD505-2E9C-101B-9397-08002B2CF9AE}" pid="3" name="MSIP_Label_0c9a534a-49dd-43c4-b4e5-f206b4dbf0e4_SetDate">
    <vt:lpwstr>2022-10-28T14:03:57Z</vt:lpwstr>
  </property>
  <property fmtid="{D5CDD505-2E9C-101B-9397-08002B2CF9AE}" pid="4" name="MSIP_Label_0c9a534a-49dd-43c4-b4e5-f206b4dbf0e4_Method">
    <vt:lpwstr>Standard</vt:lpwstr>
  </property>
  <property fmtid="{D5CDD505-2E9C-101B-9397-08002B2CF9AE}" pid="5" name="MSIP_Label_0c9a534a-49dd-43c4-b4e5-f206b4dbf0e4_Name">
    <vt:lpwstr>0c9a534a-49dd-43c4-b4e5-f206b4dbf0e4</vt:lpwstr>
  </property>
  <property fmtid="{D5CDD505-2E9C-101B-9397-08002B2CF9AE}" pid="6" name="MSIP_Label_0c9a534a-49dd-43c4-b4e5-f206b4dbf0e4_SiteId">
    <vt:lpwstr>50b6682b-e9dd-4d2c-b984-100e69b077a4</vt:lpwstr>
  </property>
  <property fmtid="{D5CDD505-2E9C-101B-9397-08002B2CF9AE}" pid="7" name="MSIP_Label_0c9a534a-49dd-43c4-b4e5-f206b4dbf0e4_ActionId">
    <vt:lpwstr>e25268a7-068f-46ad-a5a1-432722e8ef97</vt:lpwstr>
  </property>
  <property fmtid="{D5CDD505-2E9C-101B-9397-08002B2CF9AE}" pid="8" name="MSIP_Label_0c9a534a-49dd-43c4-b4e5-f206b4dbf0e4_ContentBits">
    <vt:lpwstr>0</vt:lpwstr>
  </property>
</Properties>
</file>