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417"/>
        <w:gridCol w:w="6969"/>
      </w:tblGrid>
      <w:tr w:rsidRPr="004D3483" w:rsidR="005B3B7B" w:rsidTr="00121FD2" w14:paraId="47858AF3" w14:textId="77777777">
        <w:trPr>
          <w:trHeight w:val="271"/>
        </w:trPr>
        <w:tc>
          <w:tcPr>
            <w:tcW w:w="9386" w:type="dxa"/>
            <w:gridSpan w:val="2"/>
          </w:tcPr>
          <w:p w:rsidRPr="00826D93" w:rsidR="005B3B7B" w:rsidP="00121FD2" w:rsidRDefault="005B3B7B" w14:paraId="0A7BB96F" w14:textId="77777777">
            <w:pPr>
              <w:pStyle w:val="NoSpacing"/>
              <w:jc w:val="both"/>
              <w:rPr>
                <w:rFonts w:ascii="Arial" w:hAnsi="Arial" w:cs="Arial"/>
                <w:b/>
                <w:sz w:val="24"/>
                <w:szCs w:val="24"/>
              </w:rPr>
            </w:pPr>
            <w:r>
              <w:rPr>
                <w:rFonts w:ascii="Arial" w:hAnsi="Arial" w:cs="Arial"/>
                <w:b/>
                <w:sz w:val="24"/>
                <w:szCs w:val="24"/>
              </w:rPr>
              <w:t xml:space="preserve">For Decision </w:t>
            </w:r>
          </w:p>
        </w:tc>
      </w:tr>
      <w:tr w:rsidRPr="004D3483" w:rsidR="005B3B7B" w:rsidTr="00121FD2" w14:paraId="19C8BA03" w14:textId="77777777">
        <w:trPr>
          <w:trHeight w:val="271"/>
        </w:trPr>
        <w:tc>
          <w:tcPr>
            <w:tcW w:w="2417" w:type="dxa"/>
          </w:tcPr>
          <w:p w:rsidRPr="00826D93" w:rsidR="005B3B7B" w:rsidP="00121FD2" w:rsidRDefault="005B3B7B" w14:paraId="69306BE2" w14:textId="4B5E5CA6">
            <w:pPr>
              <w:pStyle w:val="NoSpacing"/>
              <w:jc w:val="both"/>
              <w:rPr>
                <w:rFonts w:ascii="Arial" w:hAnsi="Arial" w:cs="Arial"/>
                <w:b/>
                <w:sz w:val="24"/>
                <w:szCs w:val="24"/>
              </w:rPr>
            </w:pPr>
            <w:r>
              <w:rPr>
                <w:rFonts w:ascii="Arial" w:hAnsi="Arial" w:cs="Arial"/>
                <w:b/>
                <w:sz w:val="24"/>
                <w:szCs w:val="24"/>
              </w:rPr>
              <w:t>Public/</w:t>
            </w:r>
            <w:r w:rsidR="00B5671E">
              <w:rPr>
                <w:rFonts w:ascii="Arial" w:hAnsi="Arial" w:cs="Arial"/>
                <w:b/>
                <w:sz w:val="24"/>
                <w:szCs w:val="24"/>
              </w:rPr>
              <w:t>Non-Public</w:t>
            </w:r>
            <w:r>
              <w:rPr>
                <w:rFonts w:ascii="Arial" w:hAnsi="Arial" w:cs="Arial"/>
                <w:b/>
                <w:sz w:val="24"/>
                <w:szCs w:val="24"/>
              </w:rPr>
              <w:t>*</w:t>
            </w:r>
          </w:p>
        </w:tc>
        <w:tc>
          <w:tcPr>
            <w:tcW w:w="6969" w:type="dxa"/>
          </w:tcPr>
          <w:p w:rsidRPr="00826D93" w:rsidR="005B3B7B" w:rsidP="00121FD2" w:rsidRDefault="005B3B7B" w14:paraId="01A7B49E" w14:textId="77777777">
            <w:pPr>
              <w:pStyle w:val="NoSpacing"/>
              <w:jc w:val="both"/>
              <w:rPr>
                <w:rFonts w:ascii="Arial" w:hAnsi="Arial" w:cs="Arial"/>
                <w:b/>
                <w:sz w:val="24"/>
                <w:szCs w:val="24"/>
              </w:rPr>
            </w:pPr>
            <w:r>
              <w:rPr>
                <w:rFonts w:ascii="Arial" w:hAnsi="Arial" w:cs="Arial"/>
                <w:b/>
                <w:sz w:val="24"/>
                <w:szCs w:val="24"/>
              </w:rPr>
              <w:t>Public</w:t>
            </w:r>
          </w:p>
        </w:tc>
      </w:tr>
      <w:tr w:rsidRPr="004D3483" w:rsidR="005B3B7B" w:rsidTr="008F0255" w14:paraId="1907E2B0" w14:textId="77777777">
        <w:trPr>
          <w:trHeight w:val="316"/>
        </w:trPr>
        <w:tc>
          <w:tcPr>
            <w:tcW w:w="2417" w:type="dxa"/>
          </w:tcPr>
          <w:p w:rsidRPr="00826D93" w:rsidR="005B3B7B" w:rsidP="00121FD2" w:rsidRDefault="005B3B7B" w14:paraId="4494C9CD" w14:textId="77777777">
            <w:pPr>
              <w:pStyle w:val="NoSpacing"/>
              <w:jc w:val="both"/>
              <w:rPr>
                <w:rFonts w:ascii="Arial" w:hAnsi="Arial" w:cs="Arial"/>
                <w:b/>
                <w:sz w:val="24"/>
                <w:szCs w:val="24"/>
              </w:rPr>
            </w:pPr>
            <w:r w:rsidRPr="00826D93">
              <w:rPr>
                <w:rFonts w:ascii="Arial" w:hAnsi="Arial" w:cs="Arial"/>
                <w:b/>
                <w:sz w:val="24"/>
                <w:szCs w:val="24"/>
              </w:rPr>
              <w:t>Report to:</w:t>
            </w:r>
          </w:p>
        </w:tc>
        <w:tc>
          <w:tcPr>
            <w:tcW w:w="6969" w:type="dxa"/>
          </w:tcPr>
          <w:p w:rsidRPr="008F0255" w:rsidR="005B3B7B" w:rsidP="008F0255" w:rsidRDefault="002A2279" w14:paraId="1B0E921B" w14:textId="77777777">
            <w:pPr>
              <w:pStyle w:val="NoSpacing"/>
              <w:outlineLvl w:val="0"/>
              <w:rPr>
                <w:rFonts w:ascii="Arial" w:hAnsi="Arial" w:cs="Arial"/>
                <w:b/>
                <w:sz w:val="24"/>
                <w:szCs w:val="24"/>
              </w:rPr>
            </w:pPr>
            <w:r>
              <w:rPr>
                <w:rFonts w:ascii="Arial" w:hAnsi="Arial" w:cs="Arial"/>
                <w:b/>
                <w:sz w:val="24"/>
                <w:szCs w:val="24"/>
              </w:rPr>
              <w:t>Joint Audit &amp; Scrutiny Panel</w:t>
            </w:r>
          </w:p>
        </w:tc>
      </w:tr>
      <w:tr w:rsidRPr="004D3483" w:rsidR="005B3B7B" w:rsidTr="00121FD2" w14:paraId="19CE66C4" w14:textId="77777777">
        <w:trPr>
          <w:trHeight w:val="271"/>
        </w:trPr>
        <w:tc>
          <w:tcPr>
            <w:tcW w:w="2417" w:type="dxa"/>
          </w:tcPr>
          <w:p w:rsidRPr="00826D93" w:rsidR="005B3B7B" w:rsidP="00121FD2" w:rsidRDefault="005B3B7B" w14:paraId="5E903B59" w14:textId="77777777">
            <w:pPr>
              <w:pStyle w:val="NoSpacing"/>
              <w:jc w:val="both"/>
              <w:rPr>
                <w:rFonts w:ascii="Arial" w:hAnsi="Arial" w:cs="Arial"/>
                <w:b/>
                <w:sz w:val="24"/>
                <w:szCs w:val="24"/>
              </w:rPr>
            </w:pPr>
            <w:r w:rsidRPr="00826D93">
              <w:rPr>
                <w:rFonts w:ascii="Arial" w:hAnsi="Arial" w:cs="Arial"/>
                <w:b/>
                <w:sz w:val="24"/>
                <w:szCs w:val="24"/>
              </w:rPr>
              <w:t>Date of Meeting:</w:t>
            </w:r>
          </w:p>
        </w:tc>
        <w:tc>
          <w:tcPr>
            <w:tcW w:w="6969" w:type="dxa"/>
          </w:tcPr>
          <w:p w:rsidRPr="00826D93" w:rsidR="005B3B7B" w:rsidP="00121FD2" w:rsidRDefault="00377D0C" w14:paraId="5E41B520" w14:textId="6A9CFDA2">
            <w:pPr>
              <w:pStyle w:val="NoSpacing"/>
              <w:jc w:val="both"/>
              <w:rPr>
                <w:rFonts w:ascii="Arial" w:hAnsi="Arial" w:cs="Arial"/>
                <w:b/>
                <w:sz w:val="24"/>
                <w:szCs w:val="24"/>
              </w:rPr>
            </w:pPr>
            <w:r>
              <w:rPr>
                <w:rFonts w:ascii="Arial" w:hAnsi="Arial" w:cs="Arial"/>
                <w:b/>
                <w:sz w:val="24"/>
                <w:szCs w:val="24"/>
              </w:rPr>
              <w:t>November</w:t>
            </w:r>
            <w:r w:rsidR="0093085A">
              <w:rPr>
                <w:rFonts w:ascii="Arial" w:hAnsi="Arial" w:cs="Arial"/>
                <w:b/>
                <w:sz w:val="24"/>
                <w:szCs w:val="24"/>
              </w:rPr>
              <w:t xml:space="preserve"> 2022</w:t>
            </w:r>
          </w:p>
        </w:tc>
      </w:tr>
      <w:tr w:rsidRPr="004D3483" w:rsidR="005B3B7B" w:rsidTr="00121FD2" w14:paraId="2C8874BD" w14:textId="77777777">
        <w:trPr>
          <w:trHeight w:val="271"/>
        </w:trPr>
        <w:tc>
          <w:tcPr>
            <w:tcW w:w="2417" w:type="dxa"/>
          </w:tcPr>
          <w:p w:rsidRPr="00826D93" w:rsidR="005B3B7B" w:rsidP="00121FD2" w:rsidRDefault="005B3B7B" w14:paraId="1E493463" w14:textId="77777777">
            <w:pPr>
              <w:pStyle w:val="NoSpacing"/>
              <w:jc w:val="both"/>
              <w:rPr>
                <w:rFonts w:ascii="Arial" w:hAnsi="Arial" w:cs="Arial"/>
                <w:b/>
                <w:sz w:val="24"/>
                <w:szCs w:val="24"/>
              </w:rPr>
            </w:pPr>
            <w:r>
              <w:rPr>
                <w:rFonts w:ascii="Arial" w:hAnsi="Arial" w:cs="Arial"/>
                <w:b/>
                <w:sz w:val="24"/>
                <w:szCs w:val="24"/>
              </w:rPr>
              <w:t>Report of:</w:t>
            </w:r>
          </w:p>
        </w:tc>
        <w:tc>
          <w:tcPr>
            <w:tcW w:w="6969" w:type="dxa"/>
          </w:tcPr>
          <w:p w:rsidRPr="00826D93" w:rsidR="005B3B7B" w:rsidP="00702477" w:rsidRDefault="00B6257C" w14:paraId="796B82DE" w14:textId="7E0C29A1">
            <w:pPr>
              <w:pStyle w:val="NoSpacing"/>
              <w:tabs>
                <w:tab w:val="left" w:pos="2700"/>
              </w:tabs>
              <w:jc w:val="both"/>
              <w:rPr>
                <w:rFonts w:ascii="Arial" w:hAnsi="Arial" w:cs="Arial"/>
                <w:b/>
                <w:sz w:val="24"/>
                <w:szCs w:val="24"/>
              </w:rPr>
            </w:pPr>
            <w:r>
              <w:rPr>
                <w:rFonts w:ascii="Arial" w:hAnsi="Arial" w:cs="Arial"/>
                <w:b/>
                <w:sz w:val="24"/>
                <w:szCs w:val="24"/>
              </w:rPr>
              <w:t xml:space="preserve">Chief Finance Officer </w:t>
            </w:r>
          </w:p>
        </w:tc>
      </w:tr>
      <w:tr w:rsidRPr="004D3483" w:rsidR="005B3B7B" w:rsidTr="00121FD2" w14:paraId="6061BA7C" w14:textId="77777777">
        <w:trPr>
          <w:trHeight w:val="271"/>
        </w:trPr>
        <w:tc>
          <w:tcPr>
            <w:tcW w:w="2417" w:type="dxa"/>
          </w:tcPr>
          <w:p w:rsidRPr="00826D93" w:rsidR="005B3B7B" w:rsidP="00121FD2" w:rsidRDefault="005B3B7B" w14:paraId="09F33454" w14:textId="77777777">
            <w:pPr>
              <w:pStyle w:val="NoSpacing"/>
              <w:jc w:val="both"/>
              <w:rPr>
                <w:rFonts w:ascii="Arial" w:hAnsi="Arial" w:cs="Arial"/>
                <w:b/>
                <w:sz w:val="24"/>
                <w:szCs w:val="24"/>
              </w:rPr>
            </w:pPr>
            <w:r w:rsidRPr="00826D93">
              <w:rPr>
                <w:rFonts w:ascii="Arial" w:hAnsi="Arial" w:cs="Arial"/>
                <w:b/>
                <w:sz w:val="24"/>
                <w:szCs w:val="24"/>
              </w:rPr>
              <w:t>Report Author:</w:t>
            </w:r>
          </w:p>
        </w:tc>
        <w:tc>
          <w:tcPr>
            <w:tcW w:w="6969" w:type="dxa"/>
          </w:tcPr>
          <w:p w:rsidRPr="00826D93" w:rsidR="005B3B7B" w:rsidP="00E44ED7" w:rsidRDefault="00282519" w14:paraId="522B40CC" w14:textId="4801DCED">
            <w:pPr>
              <w:pStyle w:val="NoSpacing"/>
              <w:jc w:val="both"/>
              <w:rPr>
                <w:rFonts w:ascii="Arial" w:hAnsi="Arial" w:cs="Arial"/>
                <w:b/>
                <w:sz w:val="24"/>
                <w:szCs w:val="24"/>
              </w:rPr>
            </w:pPr>
            <w:r>
              <w:rPr>
                <w:rFonts w:ascii="Arial" w:hAnsi="Arial" w:cs="Arial"/>
                <w:b/>
                <w:sz w:val="24"/>
                <w:szCs w:val="24"/>
              </w:rPr>
              <w:t>G Holder CFO</w:t>
            </w:r>
            <w:r w:rsidR="00B1423F">
              <w:rPr>
                <w:rFonts w:ascii="Arial" w:hAnsi="Arial" w:cs="Arial"/>
                <w:b/>
                <w:sz w:val="24"/>
                <w:szCs w:val="24"/>
              </w:rPr>
              <w:t xml:space="preserve"> </w:t>
            </w:r>
          </w:p>
        </w:tc>
      </w:tr>
      <w:tr w:rsidRPr="004D3483" w:rsidR="005B3B7B" w:rsidTr="00121FD2" w14:paraId="238936AF" w14:textId="77777777">
        <w:trPr>
          <w:trHeight w:val="271"/>
        </w:trPr>
        <w:tc>
          <w:tcPr>
            <w:tcW w:w="2417" w:type="dxa"/>
          </w:tcPr>
          <w:p w:rsidRPr="00826D93" w:rsidR="005B3B7B" w:rsidP="00121FD2" w:rsidRDefault="005B3B7B" w14:paraId="203C01DD" w14:textId="77777777">
            <w:pPr>
              <w:pStyle w:val="NoSpacing"/>
              <w:jc w:val="both"/>
              <w:rPr>
                <w:rFonts w:ascii="Arial" w:hAnsi="Arial" w:cs="Arial"/>
                <w:b/>
                <w:sz w:val="24"/>
                <w:szCs w:val="24"/>
              </w:rPr>
            </w:pPr>
            <w:r w:rsidRPr="00826D93">
              <w:rPr>
                <w:rFonts w:ascii="Arial" w:hAnsi="Arial" w:cs="Arial"/>
                <w:b/>
                <w:sz w:val="24"/>
                <w:szCs w:val="24"/>
              </w:rPr>
              <w:t>E-mail:</w:t>
            </w:r>
          </w:p>
        </w:tc>
        <w:tc>
          <w:tcPr>
            <w:tcW w:w="6969" w:type="dxa"/>
          </w:tcPr>
          <w:p w:rsidRPr="00DA55AE" w:rsidR="005B3B7B" w:rsidP="00E334D4" w:rsidRDefault="00B27AFA" w14:paraId="39203475" w14:textId="62951337">
            <w:pPr>
              <w:pStyle w:val="NoSpacing"/>
              <w:jc w:val="both"/>
              <w:rPr>
                <w:rFonts w:ascii="Arial" w:hAnsi="Arial" w:cs="Arial"/>
                <w:b/>
                <w:sz w:val="24"/>
                <w:szCs w:val="24"/>
              </w:rPr>
            </w:pPr>
            <w:r w:rsidRPr="00B27AFA">
              <w:rPr>
                <w:rFonts w:ascii="Arial" w:hAnsi="Arial" w:cs="Arial"/>
                <w:b/>
                <w:sz w:val="24"/>
                <w:szCs w:val="24"/>
              </w:rPr>
              <w:t>Officepcc@notts.police.uk</w:t>
            </w:r>
          </w:p>
        </w:tc>
      </w:tr>
      <w:tr w:rsidRPr="004D3483" w:rsidR="005B3B7B" w:rsidTr="00121FD2" w14:paraId="300AE0F1" w14:textId="77777777">
        <w:trPr>
          <w:trHeight w:val="286"/>
        </w:trPr>
        <w:tc>
          <w:tcPr>
            <w:tcW w:w="2417" w:type="dxa"/>
          </w:tcPr>
          <w:p w:rsidRPr="00826D93" w:rsidR="005B3B7B" w:rsidP="00121FD2" w:rsidRDefault="005B3B7B" w14:paraId="6203AAAB" w14:textId="77777777">
            <w:pPr>
              <w:pStyle w:val="NoSpacing"/>
              <w:jc w:val="both"/>
              <w:rPr>
                <w:rFonts w:ascii="Arial" w:hAnsi="Arial" w:cs="Arial"/>
                <w:b/>
                <w:sz w:val="24"/>
                <w:szCs w:val="24"/>
              </w:rPr>
            </w:pPr>
            <w:r w:rsidRPr="00826D93">
              <w:rPr>
                <w:rFonts w:ascii="Arial" w:hAnsi="Arial" w:cs="Arial"/>
                <w:b/>
                <w:sz w:val="24"/>
                <w:szCs w:val="24"/>
              </w:rPr>
              <w:t>Other Contacts:</w:t>
            </w:r>
          </w:p>
        </w:tc>
        <w:tc>
          <w:tcPr>
            <w:tcW w:w="6969" w:type="dxa"/>
          </w:tcPr>
          <w:p w:rsidRPr="00826D93" w:rsidR="00152875" w:rsidP="00121FD2" w:rsidRDefault="00134505" w14:paraId="41B74CD2" w14:textId="15AE5FAD">
            <w:pPr>
              <w:pStyle w:val="NoSpacing"/>
              <w:jc w:val="both"/>
              <w:rPr>
                <w:rFonts w:ascii="Arial" w:hAnsi="Arial" w:cs="Arial"/>
                <w:b/>
                <w:sz w:val="24"/>
                <w:szCs w:val="24"/>
              </w:rPr>
            </w:pPr>
            <w:r>
              <w:rPr>
                <w:rFonts w:ascii="Arial" w:hAnsi="Arial" w:cs="Arial"/>
                <w:b/>
                <w:sz w:val="24"/>
                <w:szCs w:val="24"/>
              </w:rPr>
              <w:t>M Kimberly Force CFO</w:t>
            </w:r>
          </w:p>
        </w:tc>
      </w:tr>
      <w:tr w:rsidRPr="004D3483" w:rsidR="005B3B7B" w:rsidTr="00121FD2" w14:paraId="5D29868E" w14:textId="77777777">
        <w:trPr>
          <w:trHeight w:val="286"/>
        </w:trPr>
        <w:tc>
          <w:tcPr>
            <w:tcW w:w="2417" w:type="dxa"/>
          </w:tcPr>
          <w:p w:rsidRPr="00826D93" w:rsidR="005B3B7B" w:rsidP="00121FD2" w:rsidRDefault="005B3B7B" w14:paraId="2C64506C" w14:textId="77777777">
            <w:pPr>
              <w:pStyle w:val="NoSpacing"/>
              <w:jc w:val="both"/>
              <w:rPr>
                <w:rFonts w:ascii="Arial" w:hAnsi="Arial" w:cs="Arial"/>
                <w:b/>
                <w:sz w:val="24"/>
                <w:szCs w:val="24"/>
              </w:rPr>
            </w:pPr>
            <w:r w:rsidRPr="00826D93">
              <w:rPr>
                <w:rFonts w:ascii="Arial" w:hAnsi="Arial" w:cs="Arial"/>
                <w:b/>
                <w:sz w:val="24"/>
                <w:szCs w:val="24"/>
              </w:rPr>
              <w:t>Agenda Item:</w:t>
            </w:r>
          </w:p>
        </w:tc>
        <w:tc>
          <w:tcPr>
            <w:tcW w:w="6969" w:type="dxa"/>
          </w:tcPr>
          <w:p w:rsidRPr="00826D93" w:rsidR="005B3B7B" w:rsidP="00E334D4" w:rsidRDefault="00134505" w14:paraId="1F6E1508" w14:textId="5D99311C">
            <w:pPr>
              <w:pStyle w:val="NoSpacing"/>
              <w:jc w:val="both"/>
              <w:rPr>
                <w:rFonts w:ascii="Arial" w:hAnsi="Arial" w:cs="Arial"/>
                <w:b/>
                <w:sz w:val="24"/>
                <w:szCs w:val="24"/>
              </w:rPr>
            </w:pPr>
            <w:r>
              <w:rPr>
                <w:rFonts w:ascii="Arial" w:hAnsi="Arial" w:cs="Arial"/>
                <w:b/>
                <w:sz w:val="24"/>
                <w:szCs w:val="24"/>
              </w:rPr>
              <w:t>8</w:t>
            </w:r>
          </w:p>
        </w:tc>
      </w:tr>
    </w:tbl>
    <w:p w:rsidR="00B1423F" w:rsidP="007B7C9D" w:rsidRDefault="00B1423F" w14:paraId="1D1BEDB3" w14:textId="77777777">
      <w:pPr>
        <w:pStyle w:val="NoSpacing"/>
        <w:jc w:val="both"/>
        <w:outlineLvl w:val="0"/>
        <w:rPr>
          <w:rFonts w:ascii="Arial" w:hAnsi="Arial" w:cs="Arial"/>
          <w:b/>
          <w:sz w:val="28"/>
          <w:szCs w:val="28"/>
        </w:rPr>
      </w:pPr>
    </w:p>
    <w:p w:rsidRPr="00CF1A43" w:rsidR="005B3B7B" w:rsidP="007B7C9D" w:rsidRDefault="00134505" w14:paraId="537AA605" w14:textId="0F927365">
      <w:pPr>
        <w:pStyle w:val="NoSpacing"/>
        <w:jc w:val="both"/>
        <w:outlineLvl w:val="0"/>
        <w:rPr>
          <w:rFonts w:ascii="Arial" w:hAnsi="Arial" w:cs="Arial"/>
          <w:b/>
          <w:sz w:val="28"/>
          <w:szCs w:val="28"/>
        </w:rPr>
      </w:pPr>
      <w:r>
        <w:rPr>
          <w:rFonts w:ascii="Arial" w:hAnsi="Arial" w:cs="Arial"/>
          <w:b/>
          <w:sz w:val="28"/>
          <w:szCs w:val="28"/>
        </w:rPr>
        <w:t>Treasury Management Update</w:t>
      </w:r>
    </w:p>
    <w:p w:rsidRPr="0069013F" w:rsidR="005B3B7B" w:rsidP="007B7C9D" w:rsidRDefault="005B3B7B" w14:paraId="233FFE49"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667162C2" w14:textId="77777777">
        <w:tc>
          <w:tcPr>
            <w:tcW w:w="9242" w:type="dxa"/>
          </w:tcPr>
          <w:p w:rsidRPr="00826D93" w:rsidR="005B3B7B" w:rsidP="007B7C9D" w:rsidRDefault="005B3B7B" w14:paraId="690B02A5"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Purpose of the Report</w:t>
            </w:r>
          </w:p>
        </w:tc>
      </w:tr>
    </w:tbl>
    <w:p w:rsidRPr="0069013F" w:rsidR="005B3B7B" w:rsidP="007B7C9D" w:rsidRDefault="005B3B7B" w14:paraId="26E69F1E" w14:textId="77777777">
      <w:pPr>
        <w:pStyle w:val="NoSpacing"/>
        <w:jc w:val="both"/>
        <w:rPr>
          <w:rFonts w:ascii="Arial" w:hAnsi="Arial" w:cs="Arial"/>
          <w:sz w:val="24"/>
          <w:szCs w:val="24"/>
        </w:rPr>
      </w:pPr>
    </w:p>
    <w:p w:rsidR="005B3B7B" w:rsidP="00171981" w:rsidRDefault="005B3B7B" w14:paraId="7873184A" w14:textId="6B9A9BB7">
      <w:pPr>
        <w:pStyle w:val="NoSpacing"/>
        <w:numPr>
          <w:ilvl w:val="1"/>
          <w:numId w:val="7"/>
        </w:numPr>
        <w:ind w:left="709" w:hanging="709"/>
        <w:jc w:val="both"/>
        <w:rPr>
          <w:rFonts w:ascii="Arial" w:hAnsi="Arial" w:cs="Arial"/>
          <w:sz w:val="24"/>
          <w:szCs w:val="24"/>
        </w:rPr>
      </w:pPr>
      <w:r>
        <w:rPr>
          <w:rFonts w:ascii="Arial" w:hAnsi="Arial" w:cs="Arial"/>
          <w:sz w:val="24"/>
          <w:szCs w:val="24"/>
        </w:rPr>
        <w:t>T</w:t>
      </w:r>
      <w:r w:rsidR="00C55D05">
        <w:rPr>
          <w:rFonts w:ascii="Arial" w:hAnsi="Arial" w:cs="Arial"/>
          <w:sz w:val="24"/>
          <w:szCs w:val="24"/>
        </w:rPr>
        <w:t>he purpose of this report is t</w:t>
      </w:r>
      <w:r>
        <w:rPr>
          <w:rFonts w:ascii="Arial" w:hAnsi="Arial" w:cs="Arial"/>
          <w:sz w:val="24"/>
          <w:szCs w:val="24"/>
        </w:rPr>
        <w:t xml:space="preserve">o present the </w:t>
      </w:r>
      <w:r w:rsidR="00134505">
        <w:rPr>
          <w:rFonts w:ascii="Arial" w:hAnsi="Arial" w:cs="Arial"/>
          <w:sz w:val="24"/>
          <w:szCs w:val="24"/>
        </w:rPr>
        <w:t>Treasury Management mid year report and the revised Treasury Management Stra</w:t>
      </w:r>
      <w:r w:rsidR="005F7157">
        <w:rPr>
          <w:rFonts w:ascii="Arial" w:hAnsi="Arial" w:cs="Arial"/>
          <w:sz w:val="24"/>
          <w:szCs w:val="24"/>
        </w:rPr>
        <w:t>t</w:t>
      </w:r>
      <w:r w:rsidR="00134505">
        <w:rPr>
          <w:rFonts w:ascii="Arial" w:hAnsi="Arial" w:cs="Arial"/>
          <w:sz w:val="24"/>
          <w:szCs w:val="24"/>
        </w:rPr>
        <w:t xml:space="preserve">egy </w:t>
      </w:r>
      <w:r>
        <w:rPr>
          <w:rFonts w:ascii="Arial" w:hAnsi="Arial" w:cs="Arial"/>
          <w:sz w:val="24"/>
          <w:szCs w:val="24"/>
        </w:rPr>
        <w:t xml:space="preserve">to the </w:t>
      </w:r>
      <w:r w:rsidR="002232EE">
        <w:rPr>
          <w:rFonts w:ascii="Arial" w:hAnsi="Arial" w:cs="Arial"/>
          <w:sz w:val="24"/>
          <w:szCs w:val="24"/>
        </w:rPr>
        <w:t>Joint Audit and Scrutiny Panel</w:t>
      </w:r>
      <w:r>
        <w:rPr>
          <w:rFonts w:ascii="Arial" w:hAnsi="Arial" w:cs="Arial"/>
          <w:sz w:val="24"/>
          <w:szCs w:val="24"/>
        </w:rPr>
        <w:t xml:space="preserve"> for </w:t>
      </w:r>
      <w:r w:rsidR="00282519">
        <w:rPr>
          <w:rFonts w:ascii="Arial" w:hAnsi="Arial" w:cs="Arial"/>
          <w:sz w:val="24"/>
          <w:szCs w:val="24"/>
        </w:rPr>
        <w:t>review</w:t>
      </w:r>
      <w:r w:rsidR="00134505">
        <w:rPr>
          <w:rFonts w:ascii="Arial" w:hAnsi="Arial" w:cs="Arial"/>
          <w:sz w:val="24"/>
          <w:szCs w:val="24"/>
        </w:rPr>
        <w:t xml:space="preserve"> and comment prior to the PCC’s formal decision record to amend the strategy.</w:t>
      </w:r>
    </w:p>
    <w:p w:rsidRPr="0069013F" w:rsidR="005B3B7B" w:rsidP="00171981" w:rsidRDefault="005B3B7B" w14:paraId="7277B947" w14:textId="77777777">
      <w:pPr>
        <w:pStyle w:val="NoSpacing"/>
        <w:ind w:left="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3F29050A" w14:textId="77777777">
        <w:tc>
          <w:tcPr>
            <w:tcW w:w="9242" w:type="dxa"/>
          </w:tcPr>
          <w:p w:rsidRPr="00826D93" w:rsidR="005B3B7B" w:rsidP="007B7C9D" w:rsidRDefault="005B3B7B" w14:paraId="760BD64B"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Recommendations</w:t>
            </w:r>
          </w:p>
        </w:tc>
      </w:tr>
    </w:tbl>
    <w:p w:rsidRPr="0069013F" w:rsidR="005B3B7B" w:rsidP="007B7C9D" w:rsidRDefault="005B3B7B" w14:paraId="23B32BF9" w14:textId="77777777">
      <w:pPr>
        <w:pStyle w:val="NoSpacing"/>
        <w:jc w:val="both"/>
        <w:rPr>
          <w:rFonts w:ascii="Arial" w:hAnsi="Arial" w:cs="Arial"/>
          <w:sz w:val="24"/>
          <w:szCs w:val="24"/>
        </w:rPr>
      </w:pPr>
    </w:p>
    <w:p w:rsidR="005B0AA6" w:rsidP="00171981" w:rsidRDefault="00C55D05" w14:paraId="2BAAB30B" w14:textId="518B90CA">
      <w:pPr>
        <w:pStyle w:val="NoSpacing"/>
        <w:ind w:left="709" w:hanging="709"/>
        <w:jc w:val="both"/>
        <w:rPr>
          <w:rFonts w:ascii="Arial" w:hAnsi="Arial" w:cs="Arial"/>
          <w:sz w:val="24"/>
          <w:szCs w:val="24"/>
        </w:rPr>
      </w:pPr>
      <w:r>
        <w:rPr>
          <w:rFonts w:ascii="Arial" w:hAnsi="Arial" w:cs="Arial"/>
          <w:sz w:val="24"/>
          <w:szCs w:val="24"/>
        </w:rPr>
        <w:t>2.1</w:t>
      </w:r>
      <w:r>
        <w:rPr>
          <w:rFonts w:ascii="Arial" w:hAnsi="Arial" w:cs="Arial"/>
          <w:sz w:val="24"/>
          <w:szCs w:val="24"/>
        </w:rPr>
        <w:tab/>
        <w:t>It is recommended tha</w:t>
      </w:r>
      <w:r w:rsidR="00A61560">
        <w:rPr>
          <w:rFonts w:ascii="Arial" w:hAnsi="Arial" w:cs="Arial"/>
          <w:sz w:val="24"/>
          <w:szCs w:val="24"/>
        </w:rPr>
        <w:t xml:space="preserve">t the </w:t>
      </w:r>
      <w:r w:rsidR="002232EE">
        <w:rPr>
          <w:rFonts w:ascii="Arial" w:hAnsi="Arial" w:cs="Arial"/>
          <w:sz w:val="24"/>
          <w:szCs w:val="24"/>
        </w:rPr>
        <w:t>Panel</w:t>
      </w:r>
      <w:r w:rsidR="005B3B7B">
        <w:rPr>
          <w:rFonts w:ascii="Arial" w:hAnsi="Arial" w:cs="Arial"/>
          <w:sz w:val="24"/>
          <w:szCs w:val="24"/>
        </w:rPr>
        <w:t xml:space="preserve"> </w:t>
      </w:r>
      <w:r w:rsidR="00282519">
        <w:rPr>
          <w:rFonts w:ascii="Arial" w:hAnsi="Arial" w:cs="Arial"/>
          <w:sz w:val="24"/>
          <w:szCs w:val="24"/>
        </w:rPr>
        <w:t>reviews and comments on</w:t>
      </w:r>
      <w:r w:rsidR="005B3B7B">
        <w:rPr>
          <w:rFonts w:ascii="Arial" w:hAnsi="Arial" w:cs="Arial"/>
          <w:sz w:val="24"/>
          <w:szCs w:val="24"/>
        </w:rPr>
        <w:t xml:space="preserve"> the </w:t>
      </w:r>
      <w:r w:rsidR="00A61560">
        <w:rPr>
          <w:rFonts w:ascii="Arial" w:hAnsi="Arial" w:cs="Arial"/>
          <w:sz w:val="24"/>
          <w:szCs w:val="24"/>
        </w:rPr>
        <w:t xml:space="preserve">contents of the </w:t>
      </w:r>
      <w:r w:rsidR="00134505">
        <w:rPr>
          <w:rFonts w:ascii="Arial" w:hAnsi="Arial" w:cs="Arial"/>
          <w:sz w:val="24"/>
          <w:szCs w:val="24"/>
        </w:rPr>
        <w:t>mid-year report and revised TM Strategy</w:t>
      </w:r>
      <w:r w:rsidR="00A61560">
        <w:rPr>
          <w:rFonts w:ascii="Arial" w:hAnsi="Arial" w:cs="Arial"/>
          <w:sz w:val="24"/>
          <w:szCs w:val="24"/>
        </w:rPr>
        <w:t>.</w:t>
      </w:r>
      <w:r w:rsidR="005B3B7B">
        <w:rPr>
          <w:rFonts w:ascii="Arial" w:hAnsi="Arial" w:cs="Arial"/>
          <w:sz w:val="24"/>
          <w:szCs w:val="24"/>
        </w:rPr>
        <w:t xml:space="preserve"> </w:t>
      </w:r>
    </w:p>
    <w:p w:rsidRPr="0069013F" w:rsidR="00B1423F" w:rsidP="007B7C9D" w:rsidRDefault="00B1423F" w14:paraId="43E17DDD"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55536105" w14:textId="77777777">
        <w:tc>
          <w:tcPr>
            <w:tcW w:w="9242" w:type="dxa"/>
          </w:tcPr>
          <w:p w:rsidRPr="00826D93" w:rsidR="005B3B7B" w:rsidP="007B7C9D" w:rsidRDefault="005B3B7B" w14:paraId="3CA65D3A" w14:textId="77777777">
            <w:pPr>
              <w:pStyle w:val="NoSpacing"/>
              <w:numPr>
                <w:ilvl w:val="0"/>
                <w:numId w:val="7"/>
              </w:numPr>
              <w:ind w:left="426" w:hanging="426"/>
              <w:jc w:val="both"/>
              <w:rPr>
                <w:rFonts w:ascii="Arial" w:hAnsi="Arial" w:cs="Arial"/>
                <w:b/>
                <w:sz w:val="24"/>
                <w:szCs w:val="24"/>
              </w:rPr>
            </w:pPr>
            <w:r w:rsidRPr="00826D93">
              <w:rPr>
                <w:rFonts w:ascii="Arial" w:hAnsi="Arial" w:cs="Arial"/>
                <w:b/>
                <w:sz w:val="24"/>
                <w:szCs w:val="24"/>
              </w:rPr>
              <w:t>Reasons for Recommendations</w:t>
            </w:r>
          </w:p>
        </w:tc>
      </w:tr>
    </w:tbl>
    <w:p w:rsidRPr="0069013F" w:rsidR="005B3B7B" w:rsidP="007B7C9D" w:rsidRDefault="005B3B7B" w14:paraId="7ABDECAE" w14:textId="77777777">
      <w:pPr>
        <w:pStyle w:val="NoSpacing"/>
        <w:jc w:val="both"/>
        <w:rPr>
          <w:rFonts w:ascii="Arial" w:hAnsi="Arial" w:cs="Arial"/>
          <w:sz w:val="24"/>
          <w:szCs w:val="24"/>
        </w:rPr>
      </w:pPr>
    </w:p>
    <w:p w:rsidR="005B3B7B" w:rsidP="008F0255" w:rsidRDefault="00134505" w14:paraId="632DD6AE" w14:textId="02A9CB51">
      <w:pPr>
        <w:pStyle w:val="NoSpacing"/>
        <w:numPr>
          <w:ilvl w:val="1"/>
          <w:numId w:val="7"/>
        </w:numPr>
        <w:ind w:left="720" w:hanging="720"/>
        <w:jc w:val="both"/>
        <w:rPr>
          <w:rFonts w:ascii="Arial" w:hAnsi="Arial" w:cs="Arial"/>
          <w:sz w:val="24"/>
          <w:szCs w:val="24"/>
        </w:rPr>
      </w:pPr>
      <w:r w:rsidRPr="00134505">
        <w:rPr>
          <w:rFonts w:ascii="Arial" w:hAnsi="Arial" w:cs="Arial"/>
          <w:bCs/>
          <w:sz w:val="24"/>
          <w:szCs w:val="24"/>
        </w:rPr>
        <w:t>The Organisation is required by regulations issued under the Local Government Act 2003 to report on its Prudential Code indicators and treasury activity. This report meets the requirements of both the CIPFA Code of Practice on Treasury Management (the Code) and the CIPFA Prudential Code for Capital Finance in Local Authorities (the Prudential Code).</w:t>
      </w:r>
    </w:p>
    <w:p w:rsidR="00565F69" w:rsidP="00565F69" w:rsidRDefault="00565F69" w14:paraId="249094DA" w14:textId="77777777">
      <w:pPr>
        <w:pStyle w:val="NoSpacing"/>
        <w:ind w:left="720"/>
        <w:jc w:val="both"/>
        <w:rPr>
          <w:rFonts w:ascii="Arial" w:hAnsi="Arial" w:cs="Arial"/>
          <w:sz w:val="24"/>
          <w:szCs w:val="24"/>
        </w:rPr>
      </w:pPr>
    </w:p>
    <w:p w:rsidRPr="0069013F" w:rsidR="005B3B7B" w:rsidP="007B7C9D" w:rsidRDefault="005B3B7B" w14:paraId="3C657C7D"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026EFFD9" w14:textId="77777777">
        <w:tc>
          <w:tcPr>
            <w:tcW w:w="9242" w:type="dxa"/>
          </w:tcPr>
          <w:p w:rsidRPr="00826D93" w:rsidR="005B3B7B" w:rsidP="00A539F4" w:rsidRDefault="005B3B7B" w14:paraId="1C65A4C6" w14:textId="24BCE809">
            <w:pPr>
              <w:pStyle w:val="NoSpacing"/>
              <w:numPr>
                <w:ilvl w:val="0"/>
                <w:numId w:val="7"/>
              </w:numPr>
              <w:ind w:left="457" w:hanging="425"/>
              <w:jc w:val="both"/>
              <w:rPr>
                <w:rFonts w:ascii="Arial" w:hAnsi="Arial" w:cs="Arial"/>
                <w:b/>
                <w:sz w:val="24"/>
                <w:szCs w:val="24"/>
              </w:rPr>
            </w:pPr>
            <w:r w:rsidRPr="00826D93">
              <w:rPr>
                <w:rFonts w:ascii="Arial" w:hAnsi="Arial" w:cs="Arial"/>
                <w:b/>
                <w:sz w:val="24"/>
                <w:szCs w:val="24"/>
              </w:rPr>
              <w:t xml:space="preserve">Summary of Key Points </w:t>
            </w:r>
          </w:p>
        </w:tc>
      </w:tr>
    </w:tbl>
    <w:p w:rsidR="00E44ED7" w:rsidP="00A539F4" w:rsidRDefault="00E44ED7" w14:paraId="22440B31" w14:textId="77777777">
      <w:pPr>
        <w:pStyle w:val="NoSpacing"/>
        <w:jc w:val="both"/>
        <w:rPr>
          <w:rFonts w:ascii="Arial" w:hAnsi="Arial" w:cs="Arial"/>
          <w:sz w:val="24"/>
          <w:szCs w:val="24"/>
        </w:rPr>
      </w:pPr>
    </w:p>
    <w:p w:rsidR="005B3B7B" w:rsidP="00134505" w:rsidRDefault="00C529B7" w14:paraId="47FE44FF" w14:textId="12682408">
      <w:pPr>
        <w:pStyle w:val="NoSpacing"/>
        <w:ind w:left="720" w:hanging="720"/>
        <w:jc w:val="both"/>
        <w:rPr>
          <w:rFonts w:ascii="Arial" w:hAnsi="Arial" w:cs="Arial"/>
          <w:sz w:val="24"/>
          <w:szCs w:val="24"/>
        </w:rPr>
      </w:pPr>
      <w:r>
        <w:rPr>
          <w:rFonts w:ascii="Arial" w:hAnsi="Arial" w:cs="Arial"/>
          <w:sz w:val="24"/>
          <w:szCs w:val="24"/>
        </w:rPr>
        <w:t>4.</w:t>
      </w:r>
      <w:r w:rsidR="00A539F4">
        <w:rPr>
          <w:rFonts w:ascii="Arial" w:hAnsi="Arial" w:cs="Arial"/>
          <w:sz w:val="24"/>
          <w:szCs w:val="24"/>
        </w:rPr>
        <w:t>1</w:t>
      </w:r>
      <w:r w:rsidR="005B3B7B">
        <w:rPr>
          <w:rFonts w:ascii="Arial" w:hAnsi="Arial" w:cs="Arial"/>
          <w:sz w:val="24"/>
          <w:szCs w:val="24"/>
        </w:rPr>
        <w:tab/>
      </w:r>
      <w:r w:rsidR="00134505">
        <w:rPr>
          <w:rFonts w:ascii="Arial" w:hAnsi="Arial" w:cs="Arial"/>
          <w:sz w:val="24"/>
          <w:szCs w:val="24"/>
        </w:rPr>
        <w:t>As set out in Appendix 1.</w:t>
      </w:r>
    </w:p>
    <w:p w:rsidR="00CE4A62" w:rsidP="007B7C9D" w:rsidRDefault="00CE4A62" w14:paraId="733034BF"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0C284AE4" w14:textId="77777777">
        <w:tc>
          <w:tcPr>
            <w:tcW w:w="9242" w:type="dxa"/>
          </w:tcPr>
          <w:p w:rsidRPr="00826D93" w:rsidR="005B3B7B" w:rsidP="00C529B7" w:rsidRDefault="00C529B7" w14:paraId="00A9C647" w14:textId="77777777">
            <w:pPr>
              <w:pStyle w:val="NoSpacing"/>
              <w:jc w:val="both"/>
              <w:rPr>
                <w:rFonts w:ascii="Arial" w:hAnsi="Arial" w:cs="Arial"/>
                <w:b/>
                <w:sz w:val="24"/>
                <w:szCs w:val="24"/>
              </w:rPr>
            </w:pPr>
            <w:r>
              <w:rPr>
                <w:rFonts w:ascii="Arial" w:hAnsi="Arial" w:cs="Arial"/>
                <w:b/>
                <w:sz w:val="24"/>
                <w:szCs w:val="24"/>
              </w:rPr>
              <w:t xml:space="preserve">5         </w:t>
            </w:r>
            <w:r w:rsidRPr="00826D93" w:rsidR="005B3B7B">
              <w:rPr>
                <w:rFonts w:ascii="Arial" w:hAnsi="Arial" w:cs="Arial"/>
                <w:b/>
                <w:sz w:val="24"/>
                <w:szCs w:val="24"/>
              </w:rPr>
              <w:t>Financial Implications and Budget Provision</w:t>
            </w:r>
          </w:p>
        </w:tc>
      </w:tr>
    </w:tbl>
    <w:p w:rsidRPr="0069013F" w:rsidR="005B3B7B" w:rsidP="007B7C9D" w:rsidRDefault="005B3B7B" w14:paraId="00CDD00B" w14:textId="77777777">
      <w:pPr>
        <w:pStyle w:val="NoSpacing"/>
        <w:jc w:val="both"/>
        <w:rPr>
          <w:rFonts w:ascii="Arial" w:hAnsi="Arial" w:cs="Arial"/>
          <w:sz w:val="24"/>
          <w:szCs w:val="24"/>
        </w:rPr>
      </w:pPr>
    </w:p>
    <w:p w:rsidR="00AF00A2" w:rsidP="00E334D4" w:rsidRDefault="00C529B7" w14:paraId="72B2F259" w14:textId="417FD65E">
      <w:pPr>
        <w:spacing w:line="240" w:lineRule="auto"/>
        <w:ind w:left="720" w:hanging="720"/>
        <w:jc w:val="both"/>
        <w:rPr>
          <w:rFonts w:cs="Arial"/>
          <w:szCs w:val="24"/>
        </w:rPr>
      </w:pPr>
      <w:r>
        <w:rPr>
          <w:rFonts w:cs="Arial"/>
          <w:szCs w:val="24"/>
        </w:rPr>
        <w:t>5</w:t>
      </w:r>
      <w:r w:rsidR="005B3B7B">
        <w:rPr>
          <w:rFonts w:cs="Arial"/>
          <w:szCs w:val="24"/>
        </w:rPr>
        <w:t>.1</w:t>
      </w:r>
      <w:r w:rsidR="005B3B7B">
        <w:rPr>
          <w:rFonts w:cs="Arial"/>
          <w:szCs w:val="24"/>
        </w:rPr>
        <w:tab/>
        <w:t xml:space="preserve">There are no </w:t>
      </w:r>
      <w:r w:rsidR="00134505">
        <w:rPr>
          <w:rFonts w:cs="Arial"/>
          <w:szCs w:val="24"/>
        </w:rPr>
        <w:t xml:space="preserve">additional </w:t>
      </w:r>
      <w:r w:rsidR="005B3B7B">
        <w:rPr>
          <w:rFonts w:cs="Arial"/>
          <w:szCs w:val="24"/>
        </w:rPr>
        <w:t>financial implications</w:t>
      </w:r>
      <w:r w:rsidR="00134505">
        <w:rPr>
          <w:rFonts w:cs="Arial"/>
          <w:szCs w:val="24"/>
        </w:rPr>
        <w:t xml:space="preserve"> to those contained in the appendices.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148B416D" w14:textId="77777777">
        <w:tc>
          <w:tcPr>
            <w:tcW w:w="9242" w:type="dxa"/>
          </w:tcPr>
          <w:p w:rsidRPr="00826D93" w:rsidR="005B3B7B" w:rsidP="00C529B7" w:rsidRDefault="005B3B7B" w14:paraId="5608394E" w14:textId="77777777">
            <w:pPr>
              <w:pStyle w:val="NoSpacing"/>
              <w:numPr>
                <w:ilvl w:val="0"/>
                <w:numId w:val="24"/>
              </w:numPr>
              <w:ind w:hanging="720"/>
              <w:jc w:val="both"/>
              <w:rPr>
                <w:rFonts w:ascii="Arial" w:hAnsi="Arial" w:cs="Arial"/>
                <w:b/>
                <w:sz w:val="24"/>
                <w:szCs w:val="24"/>
              </w:rPr>
            </w:pPr>
            <w:r w:rsidRPr="00826D93">
              <w:rPr>
                <w:rFonts w:ascii="Arial" w:hAnsi="Arial" w:cs="Arial"/>
                <w:b/>
                <w:sz w:val="24"/>
                <w:szCs w:val="24"/>
              </w:rPr>
              <w:t>Human Resources Implications</w:t>
            </w:r>
          </w:p>
        </w:tc>
      </w:tr>
    </w:tbl>
    <w:p w:rsidRPr="0069013F" w:rsidR="005B3B7B" w:rsidP="007B7C9D" w:rsidRDefault="005B3B7B" w14:paraId="3D59AF24" w14:textId="77777777">
      <w:pPr>
        <w:pStyle w:val="NoSpacing"/>
        <w:jc w:val="both"/>
        <w:rPr>
          <w:rFonts w:ascii="Arial" w:hAnsi="Arial" w:cs="Arial"/>
          <w:sz w:val="24"/>
          <w:szCs w:val="24"/>
        </w:rPr>
      </w:pPr>
    </w:p>
    <w:p w:rsidRPr="006076B2" w:rsidR="005B3B7B" w:rsidP="00C529B7" w:rsidRDefault="005B3B7B" w14:paraId="34A0C8ED" w14:textId="604F98DB">
      <w:pPr>
        <w:pStyle w:val="NoSpacing"/>
        <w:numPr>
          <w:ilvl w:val="1"/>
          <w:numId w:val="24"/>
        </w:numPr>
        <w:ind w:hanging="720"/>
        <w:jc w:val="both"/>
        <w:rPr>
          <w:rFonts w:ascii="Arial" w:hAnsi="Arial" w:cs="Arial"/>
          <w:sz w:val="24"/>
          <w:szCs w:val="24"/>
        </w:rPr>
      </w:pPr>
      <w:r>
        <w:rPr>
          <w:rFonts w:ascii="Arial" w:hAnsi="Arial" w:cs="Arial"/>
          <w:sz w:val="24"/>
          <w:szCs w:val="24"/>
        </w:rPr>
        <w:t>There are no HR implications.</w:t>
      </w:r>
    </w:p>
    <w:p w:rsidRPr="0069013F" w:rsidR="005B3B7B" w:rsidP="007B7C9D" w:rsidRDefault="005B3B7B" w14:paraId="17490591"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7E3C54DB" w14:textId="77777777">
        <w:tc>
          <w:tcPr>
            <w:tcW w:w="9242" w:type="dxa"/>
          </w:tcPr>
          <w:p w:rsidRPr="00826D93" w:rsidR="005B3B7B" w:rsidP="00C529B7" w:rsidRDefault="00C529B7" w14:paraId="67673A81" w14:textId="77777777">
            <w:pPr>
              <w:pStyle w:val="NoSpacing"/>
              <w:jc w:val="both"/>
              <w:rPr>
                <w:rFonts w:ascii="Arial" w:hAnsi="Arial" w:cs="Arial"/>
                <w:b/>
                <w:sz w:val="24"/>
                <w:szCs w:val="24"/>
              </w:rPr>
            </w:pPr>
            <w:r>
              <w:rPr>
                <w:rFonts w:ascii="Arial" w:hAnsi="Arial" w:cs="Arial"/>
                <w:b/>
                <w:sz w:val="24"/>
                <w:szCs w:val="24"/>
              </w:rPr>
              <w:t xml:space="preserve">7         </w:t>
            </w:r>
            <w:r w:rsidRPr="00826D93" w:rsidR="005B3B7B">
              <w:rPr>
                <w:rFonts w:ascii="Arial" w:hAnsi="Arial" w:cs="Arial"/>
                <w:b/>
                <w:sz w:val="24"/>
                <w:szCs w:val="24"/>
              </w:rPr>
              <w:t>Equality Implications</w:t>
            </w:r>
          </w:p>
        </w:tc>
      </w:tr>
    </w:tbl>
    <w:p w:rsidRPr="0069013F" w:rsidR="005B3B7B" w:rsidP="007B7C9D" w:rsidRDefault="005B3B7B" w14:paraId="6B904845" w14:textId="77777777">
      <w:pPr>
        <w:pStyle w:val="NoSpacing"/>
        <w:jc w:val="both"/>
        <w:rPr>
          <w:rFonts w:ascii="Arial" w:hAnsi="Arial" w:cs="Arial"/>
          <w:sz w:val="24"/>
          <w:szCs w:val="24"/>
        </w:rPr>
      </w:pPr>
    </w:p>
    <w:p w:rsidR="005B3B7B" w:rsidP="007B7C9D" w:rsidRDefault="00C529B7" w14:paraId="193182DE" w14:textId="18C46E51">
      <w:pPr>
        <w:spacing w:line="240" w:lineRule="auto"/>
        <w:ind w:left="720" w:hanging="720"/>
        <w:jc w:val="both"/>
        <w:rPr>
          <w:rFonts w:cs="Arial"/>
        </w:rPr>
      </w:pPr>
      <w:r>
        <w:rPr>
          <w:rFonts w:cs="Arial"/>
        </w:rPr>
        <w:lastRenderedPageBreak/>
        <w:t>7</w:t>
      </w:r>
      <w:r w:rsidR="005B3B7B">
        <w:rPr>
          <w:rFonts w:cs="Arial"/>
        </w:rPr>
        <w:t>.1</w:t>
      </w:r>
      <w:r w:rsidR="005B3B7B">
        <w:rPr>
          <w:rFonts w:cs="Arial"/>
        </w:rPr>
        <w:tab/>
        <w:t>Changes to, or introduction of, policy as a result of actions identified during the annual governance review process will be subject to individual Equality Impact Assessments.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235925AD" w14:textId="77777777">
        <w:tc>
          <w:tcPr>
            <w:tcW w:w="9242" w:type="dxa"/>
          </w:tcPr>
          <w:p w:rsidRPr="00826D93" w:rsidR="005B3B7B" w:rsidP="00F829A1" w:rsidRDefault="00F829A1" w14:paraId="1B76459C" w14:textId="5ED887A7">
            <w:pPr>
              <w:pStyle w:val="NoSpacing"/>
              <w:jc w:val="both"/>
              <w:rPr>
                <w:rFonts w:ascii="Arial" w:hAnsi="Arial" w:cs="Arial"/>
                <w:b/>
                <w:sz w:val="24"/>
                <w:szCs w:val="24"/>
              </w:rPr>
            </w:pPr>
            <w:r>
              <w:rPr>
                <w:rFonts w:ascii="Arial" w:hAnsi="Arial" w:cs="Arial"/>
                <w:b/>
                <w:sz w:val="24"/>
                <w:szCs w:val="24"/>
              </w:rPr>
              <w:t xml:space="preserve">8      </w:t>
            </w:r>
            <w:r w:rsidRPr="00826D93" w:rsidR="005B3B7B">
              <w:rPr>
                <w:rFonts w:ascii="Arial" w:hAnsi="Arial" w:cs="Arial"/>
                <w:b/>
                <w:sz w:val="24"/>
                <w:szCs w:val="24"/>
              </w:rPr>
              <w:t>Risk Management</w:t>
            </w:r>
          </w:p>
        </w:tc>
      </w:tr>
    </w:tbl>
    <w:p w:rsidR="005B3B7B" w:rsidP="007B7C9D" w:rsidRDefault="005B3B7B" w14:paraId="2E071393" w14:textId="77777777">
      <w:pPr>
        <w:pStyle w:val="NoSpacing"/>
        <w:jc w:val="both"/>
        <w:rPr>
          <w:rFonts w:ascii="Arial" w:hAnsi="Arial" w:cs="Arial"/>
          <w:sz w:val="24"/>
          <w:szCs w:val="24"/>
        </w:rPr>
      </w:pPr>
    </w:p>
    <w:p w:rsidRPr="00A539F4" w:rsidR="00A539F4" w:rsidP="00A539F4" w:rsidRDefault="00A539F4" w14:paraId="2015E893" w14:textId="7DD28307">
      <w:pPr>
        <w:spacing w:after="0" w:line="240" w:lineRule="auto"/>
        <w:jc w:val="both"/>
        <w:rPr>
          <w:rFonts w:cs="Arial"/>
          <w:szCs w:val="24"/>
        </w:rPr>
      </w:pPr>
      <w:r>
        <w:rPr>
          <w:rFonts w:cs="Arial"/>
          <w:szCs w:val="24"/>
        </w:rPr>
        <w:t>8.1</w:t>
      </w:r>
      <w:r>
        <w:rPr>
          <w:rFonts w:cs="Arial"/>
          <w:szCs w:val="24"/>
        </w:rPr>
        <w:tab/>
      </w:r>
      <w:r w:rsidRPr="00A539F4">
        <w:rPr>
          <w:rFonts w:cs="Arial"/>
          <w:szCs w:val="24"/>
        </w:rPr>
        <w:t>The management of risk is an integral part of the code of governance and the</w:t>
      </w:r>
    </w:p>
    <w:p w:rsidR="00122033" w:rsidP="00134505" w:rsidRDefault="00A539F4" w14:paraId="2958D6C3" w14:textId="4657F7AB">
      <w:pPr>
        <w:spacing w:after="0" w:line="240" w:lineRule="auto"/>
        <w:ind w:left="720"/>
        <w:jc w:val="both"/>
        <w:rPr>
          <w:rFonts w:cs="Arial"/>
          <w:szCs w:val="24"/>
        </w:rPr>
      </w:pPr>
      <w:r w:rsidRPr="00A539F4">
        <w:rPr>
          <w:rFonts w:cs="Arial"/>
          <w:szCs w:val="24"/>
        </w:rPr>
        <w:t>annual governance statement</w:t>
      </w:r>
      <w:r>
        <w:rPr>
          <w:rFonts w:cs="Arial"/>
          <w:szCs w:val="24"/>
        </w:rPr>
        <w:t>.</w:t>
      </w:r>
      <w:r w:rsidR="00134505">
        <w:rPr>
          <w:rFonts w:cs="Arial"/>
          <w:szCs w:val="24"/>
        </w:rPr>
        <w:t xml:space="preserve"> The TM Strategy is a key control document in the governance framework.</w:t>
      </w:r>
    </w:p>
    <w:p w:rsidRPr="0069013F" w:rsidR="00A539F4" w:rsidP="00A539F4" w:rsidRDefault="00A539F4" w14:paraId="0D64363E" w14:textId="77777777">
      <w:pPr>
        <w:spacing w:after="0" w:line="240" w:lineRule="auto"/>
        <w:ind w:firstLine="720"/>
        <w:jc w:val="both"/>
        <w:rPr>
          <w:rFonts w:cs="Arial"/>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6ECB1587" w14:textId="77777777">
        <w:tc>
          <w:tcPr>
            <w:tcW w:w="9242" w:type="dxa"/>
          </w:tcPr>
          <w:p w:rsidRPr="00826D93" w:rsidR="005B3B7B" w:rsidP="00F829A1" w:rsidRDefault="00F829A1" w14:paraId="5033D04E" w14:textId="6CCCDBD3">
            <w:pPr>
              <w:pStyle w:val="NoSpacing"/>
              <w:jc w:val="both"/>
              <w:rPr>
                <w:rFonts w:ascii="Arial" w:hAnsi="Arial" w:cs="Arial"/>
                <w:b/>
                <w:sz w:val="24"/>
                <w:szCs w:val="24"/>
              </w:rPr>
            </w:pPr>
            <w:r>
              <w:rPr>
                <w:rFonts w:ascii="Arial" w:hAnsi="Arial" w:cs="Arial"/>
                <w:b/>
                <w:sz w:val="24"/>
                <w:szCs w:val="24"/>
              </w:rPr>
              <w:t xml:space="preserve">9      </w:t>
            </w:r>
            <w:r w:rsidRPr="00826D93" w:rsidR="005B3B7B">
              <w:rPr>
                <w:rFonts w:ascii="Arial" w:hAnsi="Arial" w:cs="Arial"/>
                <w:b/>
                <w:sz w:val="24"/>
                <w:szCs w:val="24"/>
              </w:rPr>
              <w:t>Policy Implications and links to the Police and Crime Plan Priorities</w:t>
            </w:r>
          </w:p>
        </w:tc>
      </w:tr>
    </w:tbl>
    <w:p w:rsidRPr="0069013F" w:rsidR="005B3B7B" w:rsidP="007B7C9D" w:rsidRDefault="005B3B7B" w14:paraId="0005CA0B" w14:textId="77777777">
      <w:pPr>
        <w:pStyle w:val="NoSpacing"/>
        <w:jc w:val="both"/>
        <w:rPr>
          <w:rFonts w:ascii="Arial" w:hAnsi="Arial" w:cs="Arial"/>
          <w:sz w:val="24"/>
          <w:szCs w:val="24"/>
        </w:rPr>
      </w:pPr>
    </w:p>
    <w:p w:rsidRPr="00352D05" w:rsidR="005B3B7B" w:rsidP="00CA29F1" w:rsidRDefault="00C529B7" w14:paraId="7924ADFB" w14:textId="37C53C01">
      <w:pPr>
        <w:pStyle w:val="NoSpacing"/>
        <w:ind w:left="567" w:hanging="567"/>
        <w:jc w:val="both"/>
        <w:rPr>
          <w:rFonts w:ascii="Arial" w:hAnsi="Arial" w:cs="Arial"/>
          <w:sz w:val="24"/>
          <w:szCs w:val="24"/>
        </w:rPr>
      </w:pPr>
      <w:r>
        <w:rPr>
          <w:rFonts w:ascii="Arial" w:hAnsi="Arial" w:cs="Arial"/>
          <w:sz w:val="24"/>
          <w:szCs w:val="24"/>
        </w:rPr>
        <w:t xml:space="preserve">9.1    </w:t>
      </w:r>
      <w:r w:rsidR="00565F69">
        <w:rPr>
          <w:rFonts w:ascii="Arial" w:hAnsi="Arial" w:cs="Arial"/>
          <w:sz w:val="24"/>
          <w:szCs w:val="24"/>
        </w:rPr>
        <w:t>In delivering the Make Notts Safe Plan the business of the PCC is conducted in accordance with the law and proper standards and publ</w:t>
      </w:r>
      <w:r w:rsidR="00B27AFA">
        <w:rPr>
          <w:rFonts w:ascii="Arial" w:hAnsi="Arial" w:cs="Arial"/>
          <w:sz w:val="24"/>
          <w:szCs w:val="24"/>
        </w:rPr>
        <w:t>ic money is safeguarded and properly accounted for.</w:t>
      </w:r>
    </w:p>
    <w:p w:rsidR="005B3B7B" w:rsidP="00DC68AC" w:rsidRDefault="005B3B7B" w14:paraId="0F3379EA"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171981" w14:paraId="4784B069" w14:textId="77777777">
        <w:tc>
          <w:tcPr>
            <w:tcW w:w="9242" w:type="dxa"/>
          </w:tcPr>
          <w:p w:rsidRPr="00826D93" w:rsidR="005B3B7B" w:rsidP="00F829A1" w:rsidRDefault="00F829A1" w14:paraId="44D8AD7F" w14:textId="0CA49F4E">
            <w:pPr>
              <w:pStyle w:val="NoSpacing"/>
              <w:jc w:val="both"/>
              <w:rPr>
                <w:rFonts w:ascii="Arial" w:hAnsi="Arial" w:cs="Arial"/>
                <w:b/>
                <w:sz w:val="24"/>
                <w:szCs w:val="24"/>
              </w:rPr>
            </w:pPr>
            <w:r>
              <w:rPr>
                <w:rFonts w:ascii="Arial" w:hAnsi="Arial" w:cs="Arial"/>
                <w:b/>
                <w:sz w:val="24"/>
                <w:szCs w:val="24"/>
              </w:rPr>
              <w:t xml:space="preserve">10   </w:t>
            </w:r>
            <w:r w:rsidR="005B3B7B">
              <w:rPr>
                <w:rFonts w:ascii="Arial" w:hAnsi="Arial" w:cs="Arial"/>
                <w:b/>
                <w:sz w:val="24"/>
                <w:szCs w:val="24"/>
              </w:rPr>
              <w:t>Changes in Legislation or other Legal Considerations</w:t>
            </w:r>
          </w:p>
        </w:tc>
      </w:tr>
    </w:tbl>
    <w:p w:rsidRPr="0069013F" w:rsidR="005B3B7B" w:rsidP="007B7C9D" w:rsidRDefault="005B3B7B" w14:paraId="48708CBA" w14:textId="77777777">
      <w:pPr>
        <w:pStyle w:val="NoSpacing"/>
        <w:jc w:val="both"/>
        <w:rPr>
          <w:rFonts w:ascii="Arial" w:hAnsi="Arial" w:cs="Arial"/>
          <w:sz w:val="24"/>
          <w:szCs w:val="24"/>
        </w:rPr>
      </w:pPr>
    </w:p>
    <w:p w:rsidR="005B3B7B" w:rsidP="00134505" w:rsidRDefault="00C529B7" w14:paraId="3C25CCCB" w14:textId="60B6FEDB">
      <w:pPr>
        <w:pStyle w:val="NoSpacing"/>
        <w:ind w:left="709" w:hanging="709"/>
        <w:jc w:val="both"/>
        <w:rPr>
          <w:rFonts w:ascii="Arial" w:hAnsi="Arial" w:cs="Arial"/>
          <w:sz w:val="24"/>
          <w:szCs w:val="24"/>
        </w:rPr>
      </w:pPr>
      <w:r>
        <w:rPr>
          <w:rFonts w:ascii="Arial" w:hAnsi="Arial" w:cs="Arial"/>
          <w:sz w:val="24"/>
          <w:szCs w:val="24"/>
        </w:rPr>
        <w:t>10</w:t>
      </w:r>
      <w:r w:rsidRPr="009362DE" w:rsidR="005B3B7B">
        <w:rPr>
          <w:rFonts w:ascii="Arial" w:hAnsi="Arial" w:cs="Arial"/>
          <w:sz w:val="24"/>
          <w:szCs w:val="24"/>
        </w:rPr>
        <w:t>.1</w:t>
      </w:r>
      <w:r w:rsidRPr="009362DE" w:rsidR="005B3B7B">
        <w:rPr>
          <w:rFonts w:ascii="Arial" w:hAnsi="Arial" w:cs="Arial"/>
          <w:sz w:val="24"/>
          <w:szCs w:val="24"/>
        </w:rPr>
        <w:tab/>
      </w:r>
      <w:r w:rsidR="00134505">
        <w:rPr>
          <w:rFonts w:ascii="Arial" w:hAnsi="Arial" w:cs="Arial"/>
          <w:sz w:val="24"/>
          <w:szCs w:val="24"/>
        </w:rPr>
        <w:t>No changes to consider.</w:t>
      </w:r>
      <w:r w:rsidR="00C3239C">
        <w:rPr>
          <w:rFonts w:ascii="Arial" w:hAnsi="Arial" w:cs="Arial"/>
          <w:sz w:val="24"/>
          <w:szCs w:val="24"/>
        </w:rPr>
        <w:t xml:space="preserve"> </w:t>
      </w:r>
    </w:p>
    <w:p w:rsidRPr="009362DE" w:rsidR="00E44ED7" w:rsidP="007B7C9D" w:rsidRDefault="00E44ED7" w14:paraId="112E54A0" w14:textId="77777777">
      <w:pPr>
        <w:pStyle w:val="NoSpacing"/>
        <w:ind w:left="709" w:hanging="709"/>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826D93" w14:paraId="489F5A90" w14:textId="77777777">
        <w:tc>
          <w:tcPr>
            <w:tcW w:w="9242" w:type="dxa"/>
          </w:tcPr>
          <w:p w:rsidR="005B3B7B" w:rsidP="00F829A1" w:rsidRDefault="00F829A1" w14:paraId="39713F8A" w14:textId="5E97411A">
            <w:pPr>
              <w:pStyle w:val="NoSpacing"/>
              <w:jc w:val="both"/>
              <w:rPr>
                <w:rFonts w:ascii="Arial" w:hAnsi="Arial" w:cs="Arial"/>
                <w:b/>
                <w:sz w:val="24"/>
                <w:szCs w:val="24"/>
              </w:rPr>
            </w:pPr>
            <w:r>
              <w:rPr>
                <w:rFonts w:ascii="Arial" w:hAnsi="Arial" w:cs="Arial"/>
                <w:b/>
                <w:sz w:val="24"/>
                <w:szCs w:val="24"/>
              </w:rPr>
              <w:t xml:space="preserve">11  </w:t>
            </w:r>
            <w:r w:rsidR="005B3B7B">
              <w:rPr>
                <w:rFonts w:ascii="Arial" w:hAnsi="Arial" w:cs="Arial"/>
                <w:b/>
                <w:sz w:val="24"/>
                <w:szCs w:val="24"/>
              </w:rPr>
              <w:t xml:space="preserve"> </w:t>
            </w:r>
            <w:r w:rsidRPr="00826D93" w:rsidR="005B3B7B">
              <w:rPr>
                <w:rFonts w:ascii="Arial" w:hAnsi="Arial" w:cs="Arial"/>
                <w:b/>
                <w:sz w:val="24"/>
                <w:szCs w:val="24"/>
              </w:rPr>
              <w:t>Details of outcome of consultation</w:t>
            </w:r>
          </w:p>
        </w:tc>
      </w:tr>
    </w:tbl>
    <w:p w:rsidR="005B3B7B" w:rsidP="007B7C9D" w:rsidRDefault="005B3B7B" w14:paraId="24622074" w14:textId="77777777">
      <w:pPr>
        <w:pStyle w:val="NoSpacing"/>
        <w:jc w:val="both"/>
        <w:rPr>
          <w:rFonts w:ascii="Arial" w:hAnsi="Arial" w:cs="Arial"/>
          <w:sz w:val="24"/>
          <w:szCs w:val="24"/>
        </w:rPr>
      </w:pPr>
    </w:p>
    <w:p w:rsidR="005B3B7B" w:rsidP="00895EB6" w:rsidRDefault="00C529B7" w14:paraId="6383C952" w14:textId="3FE6333F">
      <w:pPr>
        <w:pStyle w:val="NoSpacing"/>
        <w:ind w:left="720" w:hanging="720"/>
        <w:jc w:val="both"/>
        <w:rPr>
          <w:rFonts w:ascii="Arial" w:hAnsi="Arial" w:cs="Arial"/>
          <w:sz w:val="24"/>
          <w:szCs w:val="24"/>
        </w:rPr>
      </w:pPr>
      <w:r>
        <w:rPr>
          <w:rFonts w:ascii="Arial" w:hAnsi="Arial" w:cs="Arial"/>
          <w:sz w:val="24"/>
          <w:szCs w:val="24"/>
        </w:rPr>
        <w:t>11</w:t>
      </w:r>
      <w:r w:rsidR="005B3B7B">
        <w:rPr>
          <w:rFonts w:ascii="Arial" w:hAnsi="Arial" w:cs="Arial"/>
          <w:sz w:val="24"/>
          <w:szCs w:val="24"/>
        </w:rPr>
        <w:t>.1</w:t>
      </w:r>
      <w:r w:rsidR="005B3B7B">
        <w:rPr>
          <w:rFonts w:ascii="Arial" w:hAnsi="Arial" w:cs="Arial"/>
          <w:sz w:val="24"/>
          <w:szCs w:val="24"/>
        </w:rPr>
        <w:tab/>
      </w:r>
      <w:r w:rsidR="00565F69">
        <w:rPr>
          <w:rFonts w:ascii="Arial" w:hAnsi="Arial" w:cs="Arial"/>
          <w:sz w:val="24"/>
          <w:szCs w:val="24"/>
        </w:rPr>
        <w:t>Not applicable</w:t>
      </w:r>
    </w:p>
    <w:p w:rsidR="005B3B7B" w:rsidP="007B7C9D" w:rsidRDefault="005B3B7B" w14:paraId="51CF3E0F" w14:textId="77777777">
      <w:pPr>
        <w:pStyle w:val="NoSpacing"/>
        <w:jc w:val="both"/>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016"/>
      </w:tblGrid>
      <w:tr w:rsidRPr="0069013F" w:rsidR="005B3B7B" w:rsidTr="00171981" w14:paraId="2A439D04" w14:textId="77777777">
        <w:tc>
          <w:tcPr>
            <w:tcW w:w="9242" w:type="dxa"/>
          </w:tcPr>
          <w:p w:rsidR="005B3B7B" w:rsidP="007B7C9D" w:rsidRDefault="00C529B7" w14:paraId="168C952D" w14:textId="77777777">
            <w:pPr>
              <w:pStyle w:val="NoSpacing"/>
              <w:ind w:left="426" w:hanging="426"/>
              <w:jc w:val="both"/>
              <w:rPr>
                <w:rFonts w:ascii="Arial" w:hAnsi="Arial" w:cs="Arial"/>
                <w:b/>
                <w:sz w:val="24"/>
                <w:szCs w:val="24"/>
              </w:rPr>
            </w:pPr>
            <w:r>
              <w:rPr>
                <w:rFonts w:ascii="Arial" w:hAnsi="Arial" w:cs="Arial"/>
                <w:b/>
                <w:sz w:val="24"/>
                <w:szCs w:val="24"/>
              </w:rPr>
              <w:t>12</w:t>
            </w:r>
            <w:r w:rsidR="005B3B7B">
              <w:rPr>
                <w:rFonts w:ascii="Arial" w:hAnsi="Arial" w:cs="Arial"/>
                <w:b/>
                <w:sz w:val="24"/>
                <w:szCs w:val="24"/>
              </w:rPr>
              <w:t xml:space="preserve">. </w:t>
            </w:r>
            <w:r w:rsidR="005B3B7B">
              <w:rPr>
                <w:rFonts w:ascii="Arial" w:hAnsi="Arial" w:cs="Arial"/>
                <w:b/>
                <w:sz w:val="24"/>
                <w:szCs w:val="24"/>
              </w:rPr>
              <w:tab/>
              <w:t>Appendices</w:t>
            </w:r>
          </w:p>
        </w:tc>
      </w:tr>
    </w:tbl>
    <w:p w:rsidRPr="0069013F" w:rsidR="005B3B7B" w:rsidP="007B7C9D" w:rsidRDefault="005B3B7B" w14:paraId="7EEB68BB" w14:textId="77777777">
      <w:pPr>
        <w:pStyle w:val="NoSpacing"/>
        <w:jc w:val="both"/>
        <w:rPr>
          <w:rFonts w:ascii="Arial" w:hAnsi="Arial" w:cs="Arial"/>
          <w:sz w:val="24"/>
          <w:szCs w:val="24"/>
        </w:rPr>
      </w:pPr>
    </w:p>
    <w:p w:rsidRPr="00134505" w:rsidR="00134505" w:rsidP="00134505" w:rsidRDefault="00C529B7" w14:paraId="5938F252" w14:textId="77777777">
      <w:pPr>
        <w:pStyle w:val="NoSpacing"/>
        <w:ind w:left="720" w:hanging="720"/>
        <w:jc w:val="both"/>
        <w:outlineLvl w:val="0"/>
        <w:rPr>
          <w:rFonts w:ascii="Arial" w:hAnsi="Arial" w:cs="Arial"/>
          <w:b/>
          <w:sz w:val="28"/>
          <w:szCs w:val="28"/>
          <w:u w:val="single"/>
        </w:rPr>
      </w:pPr>
      <w:r>
        <w:rPr>
          <w:rFonts w:ascii="Arial" w:hAnsi="Arial" w:cs="Arial"/>
          <w:sz w:val="24"/>
          <w:szCs w:val="24"/>
        </w:rPr>
        <w:t>12</w:t>
      </w:r>
      <w:r w:rsidR="005B3B7B">
        <w:rPr>
          <w:rFonts w:ascii="Arial" w:hAnsi="Arial" w:cs="Arial"/>
          <w:sz w:val="24"/>
          <w:szCs w:val="24"/>
        </w:rPr>
        <w:t>.1</w:t>
      </w:r>
      <w:r w:rsidR="005B3B7B">
        <w:rPr>
          <w:rFonts w:ascii="Arial" w:hAnsi="Arial" w:cs="Arial"/>
          <w:sz w:val="24"/>
          <w:szCs w:val="24"/>
        </w:rPr>
        <w:tab/>
      </w:r>
      <w:r w:rsidR="00DC68AC">
        <w:rPr>
          <w:rFonts w:ascii="Arial" w:hAnsi="Arial" w:cs="Arial"/>
          <w:sz w:val="24"/>
          <w:szCs w:val="24"/>
        </w:rPr>
        <w:t>Appendix 1</w:t>
      </w:r>
      <w:r w:rsidRPr="00134505" w:rsidR="00DC68AC">
        <w:rPr>
          <w:rFonts w:ascii="Arial" w:hAnsi="Arial" w:cs="Arial"/>
          <w:sz w:val="24"/>
          <w:szCs w:val="24"/>
        </w:rPr>
        <w:t xml:space="preserve">: </w:t>
      </w:r>
      <w:r w:rsidRPr="00134505" w:rsidR="00134505">
        <w:rPr>
          <w:rFonts w:ascii="Arial" w:hAnsi="Arial" w:cs="Arial"/>
          <w:sz w:val="24"/>
          <w:szCs w:val="24"/>
        </w:rPr>
        <w:t>Treasury Management Interim Report 2022/23 as at 31</w:t>
      </w:r>
      <w:r w:rsidRPr="00134505" w:rsidR="00134505">
        <w:rPr>
          <w:rFonts w:ascii="Arial" w:hAnsi="Arial" w:cs="Arial"/>
          <w:sz w:val="24"/>
          <w:szCs w:val="24"/>
          <w:vertAlign w:val="superscript"/>
        </w:rPr>
        <w:t>st</w:t>
      </w:r>
      <w:r w:rsidRPr="00134505" w:rsidR="00134505">
        <w:rPr>
          <w:rFonts w:ascii="Arial" w:hAnsi="Arial" w:cs="Arial"/>
          <w:sz w:val="24"/>
          <w:szCs w:val="24"/>
        </w:rPr>
        <w:t xml:space="preserve"> October 2022.</w:t>
      </w:r>
    </w:p>
    <w:p w:rsidRPr="0069013F" w:rsidR="005B3B7B" w:rsidP="007B7C9D" w:rsidRDefault="005B3B7B" w14:paraId="05A93410" w14:textId="78B51D82">
      <w:pPr>
        <w:pStyle w:val="NoSpacing"/>
        <w:jc w:val="both"/>
        <w:rPr>
          <w:rFonts w:ascii="Arial" w:hAnsi="Arial" w:cs="Arial"/>
          <w:sz w:val="24"/>
          <w:szCs w:val="24"/>
        </w:rPr>
      </w:pPr>
    </w:p>
    <w:sectPr w:rsidRPr="0069013F" w:rsidR="005B3B7B" w:rsidSect="001C0E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9DCA" w14:textId="77777777" w:rsidR="00B1423F" w:rsidRDefault="00B1423F">
      <w:pPr>
        <w:pStyle w:val="NoSpacing"/>
      </w:pPr>
      <w:r>
        <w:separator/>
      </w:r>
    </w:p>
  </w:endnote>
  <w:endnote w:type="continuationSeparator" w:id="0">
    <w:p w14:paraId="72A85FE9" w14:textId="77777777" w:rsidR="00B1423F" w:rsidRDefault="00B1423F">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0AA0" w14:textId="77777777" w:rsidR="00B1423F" w:rsidRDefault="00B1423F">
      <w:pPr>
        <w:pStyle w:val="NoSpacing"/>
      </w:pPr>
      <w:r>
        <w:separator/>
      </w:r>
    </w:p>
  </w:footnote>
  <w:footnote w:type="continuationSeparator" w:id="0">
    <w:p w14:paraId="6074AE83" w14:textId="77777777" w:rsidR="00B1423F" w:rsidRDefault="00B1423F">
      <w:pPr>
        <w:pStyle w:val="NoSpacing"/>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200"/>
    <w:multiLevelType w:val="multilevel"/>
    <w:tmpl w:val="EB083F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33D5043"/>
    <w:multiLevelType w:val="multilevel"/>
    <w:tmpl w:val="1E6A0D3C"/>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47C1312"/>
    <w:multiLevelType w:val="hybridMultilevel"/>
    <w:tmpl w:val="F9D06A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E12F7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198B1FFF"/>
    <w:multiLevelType w:val="multilevel"/>
    <w:tmpl w:val="5476C4F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02B4E32"/>
    <w:multiLevelType w:val="multilevel"/>
    <w:tmpl w:val="16EA7CC0"/>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2C9277C"/>
    <w:multiLevelType w:val="multilevel"/>
    <w:tmpl w:val="0458DC9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3826835"/>
    <w:multiLevelType w:val="multilevel"/>
    <w:tmpl w:val="FFC01324"/>
    <w:lvl w:ilvl="0">
      <w:start w:val="8"/>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0"/>
        </w:tabs>
        <w:ind w:hanging="6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20"/>
        </w:tabs>
        <w:ind w:left="-282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8" w15:restartNumberingAfterBreak="0">
    <w:nsid w:val="250C047D"/>
    <w:multiLevelType w:val="hybridMultilevel"/>
    <w:tmpl w:val="1E4EDC0A"/>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3469A3"/>
    <w:multiLevelType w:val="hybridMultilevel"/>
    <w:tmpl w:val="2FECC2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EB8762E"/>
    <w:multiLevelType w:val="hybridMultilevel"/>
    <w:tmpl w:val="2D1287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6AE0132"/>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38165047"/>
    <w:multiLevelType w:val="multilevel"/>
    <w:tmpl w:val="174E90E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A3301CF"/>
    <w:multiLevelType w:val="multilevel"/>
    <w:tmpl w:val="0AEA22F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3CF1369"/>
    <w:multiLevelType w:val="multilevel"/>
    <w:tmpl w:val="809439E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2001EC7"/>
    <w:multiLevelType w:val="multilevel"/>
    <w:tmpl w:val="D16247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5510C"/>
    <w:multiLevelType w:val="multilevel"/>
    <w:tmpl w:val="174E90E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9AA1871"/>
    <w:multiLevelType w:val="hybridMultilevel"/>
    <w:tmpl w:val="D4C4DBEC"/>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BEF2871"/>
    <w:multiLevelType w:val="hybridMultilevel"/>
    <w:tmpl w:val="51105B7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4BA7BF7"/>
    <w:multiLevelType w:val="multilevel"/>
    <w:tmpl w:val="1E6A0D3C"/>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1353E78"/>
    <w:multiLevelType w:val="multilevel"/>
    <w:tmpl w:val="B5424DE0"/>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78642B"/>
    <w:multiLevelType w:val="hybridMultilevel"/>
    <w:tmpl w:val="0B8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0565B"/>
    <w:multiLevelType w:val="multilevel"/>
    <w:tmpl w:val="A4E4291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3E2DA9"/>
    <w:multiLevelType w:val="multilevel"/>
    <w:tmpl w:val="AE347D1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BAB301F"/>
    <w:multiLevelType w:val="multilevel"/>
    <w:tmpl w:val="809439E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504B18"/>
    <w:multiLevelType w:val="multilevel"/>
    <w:tmpl w:val="99D026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8"/>
  </w:num>
  <w:num w:numId="2">
    <w:abstractNumId w:val="21"/>
  </w:num>
  <w:num w:numId="3">
    <w:abstractNumId w:val="2"/>
  </w:num>
  <w:num w:numId="4">
    <w:abstractNumId w:val="10"/>
  </w:num>
  <w:num w:numId="5">
    <w:abstractNumId w:val="17"/>
  </w:num>
  <w:num w:numId="6">
    <w:abstractNumId w:val="9"/>
  </w:num>
  <w:num w:numId="7">
    <w:abstractNumId w:val="3"/>
  </w:num>
  <w:num w:numId="8">
    <w:abstractNumId w:val="0"/>
  </w:num>
  <w:num w:numId="9">
    <w:abstractNumId w:val="4"/>
  </w:num>
  <w:num w:numId="10">
    <w:abstractNumId w:val="7"/>
  </w:num>
  <w:num w:numId="11">
    <w:abstractNumId w:val="25"/>
  </w:num>
  <w:num w:numId="12">
    <w:abstractNumId w:val="8"/>
  </w:num>
  <w:num w:numId="13">
    <w:abstractNumId w:val="6"/>
  </w:num>
  <w:num w:numId="14">
    <w:abstractNumId w:val="23"/>
  </w:num>
  <w:num w:numId="15">
    <w:abstractNumId w:val="24"/>
  </w:num>
  <w:num w:numId="16">
    <w:abstractNumId w:val="14"/>
  </w:num>
  <w:num w:numId="17">
    <w:abstractNumId w:val="19"/>
  </w:num>
  <w:num w:numId="18">
    <w:abstractNumId w:val="1"/>
  </w:num>
  <w:num w:numId="19">
    <w:abstractNumId w:val="12"/>
  </w:num>
  <w:num w:numId="20">
    <w:abstractNumId w:val="16"/>
  </w:num>
  <w:num w:numId="21">
    <w:abstractNumId w:val="5"/>
  </w:num>
  <w:num w:numId="22">
    <w:abstractNumId w:val="13"/>
  </w:num>
  <w:num w:numId="23">
    <w:abstractNumId w:val="15"/>
  </w:num>
  <w:num w:numId="24">
    <w:abstractNumId w:val="2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45"/>
    <w:rsid w:val="00011C23"/>
    <w:rsid w:val="00074980"/>
    <w:rsid w:val="00096D1C"/>
    <w:rsid w:val="000D5ADB"/>
    <w:rsid w:val="00121FD2"/>
    <w:rsid w:val="00122033"/>
    <w:rsid w:val="00134505"/>
    <w:rsid w:val="00152875"/>
    <w:rsid w:val="00171981"/>
    <w:rsid w:val="00190345"/>
    <w:rsid w:val="00196534"/>
    <w:rsid w:val="001C0E0D"/>
    <w:rsid w:val="001E4EE9"/>
    <w:rsid w:val="0021718B"/>
    <w:rsid w:val="00222D7A"/>
    <w:rsid w:val="002232EE"/>
    <w:rsid w:val="00224F4B"/>
    <w:rsid w:val="00231CDB"/>
    <w:rsid w:val="00251522"/>
    <w:rsid w:val="0025311E"/>
    <w:rsid w:val="00253143"/>
    <w:rsid w:val="00262D35"/>
    <w:rsid w:val="00282519"/>
    <w:rsid w:val="002A2279"/>
    <w:rsid w:val="002B438F"/>
    <w:rsid w:val="002D0ABD"/>
    <w:rsid w:val="002F2575"/>
    <w:rsid w:val="00332A7D"/>
    <w:rsid w:val="0034091A"/>
    <w:rsid w:val="00352D05"/>
    <w:rsid w:val="00361216"/>
    <w:rsid w:val="00377D0C"/>
    <w:rsid w:val="003B1383"/>
    <w:rsid w:val="003C01F3"/>
    <w:rsid w:val="003E5F54"/>
    <w:rsid w:val="00433092"/>
    <w:rsid w:val="004423F2"/>
    <w:rsid w:val="00464C9D"/>
    <w:rsid w:val="0046561D"/>
    <w:rsid w:val="00472D35"/>
    <w:rsid w:val="0047598D"/>
    <w:rsid w:val="004A397B"/>
    <w:rsid w:val="004B2D09"/>
    <w:rsid w:val="004B6391"/>
    <w:rsid w:val="004D3483"/>
    <w:rsid w:val="004D5F95"/>
    <w:rsid w:val="004E2B73"/>
    <w:rsid w:val="0053202D"/>
    <w:rsid w:val="00565F69"/>
    <w:rsid w:val="00573188"/>
    <w:rsid w:val="0058075D"/>
    <w:rsid w:val="005A4AEE"/>
    <w:rsid w:val="005B0AA6"/>
    <w:rsid w:val="005B1383"/>
    <w:rsid w:val="005B3B7B"/>
    <w:rsid w:val="005C7E26"/>
    <w:rsid w:val="005E6561"/>
    <w:rsid w:val="005E7857"/>
    <w:rsid w:val="005F7157"/>
    <w:rsid w:val="0060343F"/>
    <w:rsid w:val="006076B2"/>
    <w:rsid w:val="006744B7"/>
    <w:rsid w:val="00681BFF"/>
    <w:rsid w:val="0069013F"/>
    <w:rsid w:val="006B3E22"/>
    <w:rsid w:val="006C1635"/>
    <w:rsid w:val="006D0679"/>
    <w:rsid w:val="00702477"/>
    <w:rsid w:val="007144AC"/>
    <w:rsid w:val="00726282"/>
    <w:rsid w:val="00734C54"/>
    <w:rsid w:val="007543E6"/>
    <w:rsid w:val="007B7C9D"/>
    <w:rsid w:val="007C3330"/>
    <w:rsid w:val="007D6D36"/>
    <w:rsid w:val="007F7129"/>
    <w:rsid w:val="00801A24"/>
    <w:rsid w:val="00806EA3"/>
    <w:rsid w:val="00824840"/>
    <w:rsid w:val="00826D93"/>
    <w:rsid w:val="00882F8A"/>
    <w:rsid w:val="00895EB6"/>
    <w:rsid w:val="008A6534"/>
    <w:rsid w:val="008B2351"/>
    <w:rsid w:val="008F0255"/>
    <w:rsid w:val="0093085A"/>
    <w:rsid w:val="009362DE"/>
    <w:rsid w:val="00952502"/>
    <w:rsid w:val="00964863"/>
    <w:rsid w:val="00964DA6"/>
    <w:rsid w:val="009665F0"/>
    <w:rsid w:val="009D3252"/>
    <w:rsid w:val="009E25AB"/>
    <w:rsid w:val="00A0247F"/>
    <w:rsid w:val="00A539F4"/>
    <w:rsid w:val="00A61560"/>
    <w:rsid w:val="00A6314C"/>
    <w:rsid w:val="00A948C1"/>
    <w:rsid w:val="00A94E7A"/>
    <w:rsid w:val="00AF00A2"/>
    <w:rsid w:val="00AF1ECD"/>
    <w:rsid w:val="00B11A47"/>
    <w:rsid w:val="00B11E84"/>
    <w:rsid w:val="00B1423F"/>
    <w:rsid w:val="00B27AFA"/>
    <w:rsid w:val="00B36714"/>
    <w:rsid w:val="00B36E16"/>
    <w:rsid w:val="00B428DB"/>
    <w:rsid w:val="00B5671E"/>
    <w:rsid w:val="00B6257C"/>
    <w:rsid w:val="00B63DF4"/>
    <w:rsid w:val="00B761A4"/>
    <w:rsid w:val="00B84A88"/>
    <w:rsid w:val="00BB2219"/>
    <w:rsid w:val="00BE00C6"/>
    <w:rsid w:val="00BE16F2"/>
    <w:rsid w:val="00BE6AD4"/>
    <w:rsid w:val="00C05E9B"/>
    <w:rsid w:val="00C104E5"/>
    <w:rsid w:val="00C3239C"/>
    <w:rsid w:val="00C529B7"/>
    <w:rsid w:val="00C549CF"/>
    <w:rsid w:val="00C55D05"/>
    <w:rsid w:val="00C9247D"/>
    <w:rsid w:val="00CA29F1"/>
    <w:rsid w:val="00CC0E8C"/>
    <w:rsid w:val="00CD43A6"/>
    <w:rsid w:val="00CE1934"/>
    <w:rsid w:val="00CE4A62"/>
    <w:rsid w:val="00CF1A43"/>
    <w:rsid w:val="00CF5092"/>
    <w:rsid w:val="00D225B5"/>
    <w:rsid w:val="00D233A4"/>
    <w:rsid w:val="00D313C9"/>
    <w:rsid w:val="00D61E7D"/>
    <w:rsid w:val="00D765A5"/>
    <w:rsid w:val="00DA55AE"/>
    <w:rsid w:val="00DA7C2C"/>
    <w:rsid w:val="00DC68AC"/>
    <w:rsid w:val="00DF5049"/>
    <w:rsid w:val="00E258C8"/>
    <w:rsid w:val="00E32A8D"/>
    <w:rsid w:val="00E334D4"/>
    <w:rsid w:val="00E34755"/>
    <w:rsid w:val="00E40C27"/>
    <w:rsid w:val="00E44ED7"/>
    <w:rsid w:val="00E71B40"/>
    <w:rsid w:val="00E90BB2"/>
    <w:rsid w:val="00EF3973"/>
    <w:rsid w:val="00EF4B3F"/>
    <w:rsid w:val="00F41D1C"/>
    <w:rsid w:val="00F74E2B"/>
    <w:rsid w:val="00F829A1"/>
    <w:rsid w:val="00FA05AB"/>
    <w:rsid w:val="00FE6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A91698F"/>
  <w15:docId w15:val="{6884D13E-CF82-4D22-A82E-D9DA289C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34"/>
    <w:pPr>
      <w:spacing w:after="200" w:line="276" w:lineRule="auto"/>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345"/>
    <w:pPr>
      <w:ind w:left="720"/>
      <w:contextualSpacing/>
    </w:pPr>
    <w:rPr>
      <w:rFonts w:ascii="Calibri" w:hAnsi="Calibri"/>
      <w:sz w:val="22"/>
    </w:rPr>
  </w:style>
  <w:style w:type="paragraph" w:styleId="NoSpacing">
    <w:name w:val="No Spacing"/>
    <w:uiPriority w:val="99"/>
    <w:qFormat/>
    <w:rsid w:val="00A94E7A"/>
    <w:rPr>
      <w:lang w:eastAsia="en-US"/>
    </w:rPr>
  </w:style>
  <w:style w:type="table" w:styleId="TableGrid">
    <w:name w:val="Table Grid"/>
    <w:basedOn w:val="TableNormal"/>
    <w:uiPriority w:val="99"/>
    <w:rsid w:val="0019653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B11A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765A5"/>
    <w:rPr>
      <w:rFonts w:ascii="Times New Roman" w:hAnsi="Times New Roman" w:cs="Times New Roman"/>
      <w:sz w:val="2"/>
      <w:lang w:eastAsia="en-US"/>
    </w:rPr>
  </w:style>
  <w:style w:type="character" w:styleId="CommentReference">
    <w:name w:val="annotation reference"/>
    <w:basedOn w:val="DefaultParagraphFont"/>
    <w:uiPriority w:val="99"/>
    <w:semiHidden/>
    <w:rsid w:val="00B11A47"/>
    <w:rPr>
      <w:rFonts w:cs="Times New Roman"/>
      <w:sz w:val="16"/>
      <w:szCs w:val="16"/>
    </w:rPr>
  </w:style>
  <w:style w:type="paragraph" w:styleId="CommentText">
    <w:name w:val="annotation text"/>
    <w:basedOn w:val="Normal"/>
    <w:link w:val="CommentTextChar"/>
    <w:uiPriority w:val="99"/>
    <w:semiHidden/>
    <w:rsid w:val="00B11A47"/>
    <w:rPr>
      <w:sz w:val="20"/>
      <w:szCs w:val="20"/>
    </w:rPr>
  </w:style>
  <w:style w:type="character" w:customStyle="1" w:styleId="CommentTextChar">
    <w:name w:val="Comment Text Char"/>
    <w:basedOn w:val="DefaultParagraphFont"/>
    <w:link w:val="CommentText"/>
    <w:uiPriority w:val="99"/>
    <w:semiHidden/>
    <w:locked/>
    <w:rsid w:val="00D765A5"/>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11A47"/>
    <w:rPr>
      <w:b/>
      <w:bCs/>
    </w:rPr>
  </w:style>
  <w:style w:type="character" w:customStyle="1" w:styleId="CommentSubjectChar">
    <w:name w:val="Comment Subject Char"/>
    <w:basedOn w:val="CommentTextChar"/>
    <w:link w:val="CommentSubject"/>
    <w:uiPriority w:val="99"/>
    <w:semiHidden/>
    <w:locked/>
    <w:rsid w:val="00D765A5"/>
    <w:rPr>
      <w:rFonts w:ascii="Arial" w:hAnsi="Arial" w:cs="Times New Roman"/>
      <w:b/>
      <w:bCs/>
      <w:sz w:val="20"/>
      <w:szCs w:val="20"/>
      <w:lang w:eastAsia="en-US"/>
    </w:rPr>
  </w:style>
  <w:style w:type="paragraph" w:styleId="BalloonText">
    <w:name w:val="Balloon Text"/>
    <w:basedOn w:val="Normal"/>
    <w:link w:val="BalloonTextChar"/>
    <w:uiPriority w:val="99"/>
    <w:semiHidden/>
    <w:rsid w:val="00B11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A5"/>
    <w:rPr>
      <w:rFonts w:ascii="Times New Roman" w:hAnsi="Times New Roman" w:cs="Times New Roman"/>
      <w:sz w:val="2"/>
      <w:lang w:eastAsia="en-US"/>
    </w:rPr>
  </w:style>
  <w:style w:type="paragraph" w:styleId="Header">
    <w:name w:val="header"/>
    <w:basedOn w:val="Normal"/>
    <w:link w:val="HeaderChar"/>
    <w:uiPriority w:val="99"/>
    <w:rsid w:val="00B11A47"/>
    <w:pPr>
      <w:tabs>
        <w:tab w:val="center" w:pos="4153"/>
        <w:tab w:val="right" w:pos="8306"/>
      </w:tabs>
    </w:pPr>
  </w:style>
  <w:style w:type="character" w:customStyle="1" w:styleId="HeaderChar">
    <w:name w:val="Header Char"/>
    <w:basedOn w:val="DefaultParagraphFont"/>
    <w:link w:val="Header"/>
    <w:uiPriority w:val="99"/>
    <w:semiHidden/>
    <w:locked/>
    <w:rsid w:val="00D765A5"/>
    <w:rPr>
      <w:rFonts w:ascii="Arial" w:hAnsi="Arial" w:cs="Times New Roman"/>
      <w:sz w:val="24"/>
      <w:lang w:eastAsia="en-US"/>
    </w:rPr>
  </w:style>
  <w:style w:type="paragraph" w:styleId="Footer">
    <w:name w:val="footer"/>
    <w:basedOn w:val="Normal"/>
    <w:link w:val="FooterChar"/>
    <w:uiPriority w:val="99"/>
    <w:rsid w:val="00B11A47"/>
    <w:pPr>
      <w:tabs>
        <w:tab w:val="center" w:pos="4153"/>
        <w:tab w:val="right" w:pos="8306"/>
      </w:tabs>
    </w:pPr>
  </w:style>
  <w:style w:type="character" w:customStyle="1" w:styleId="FooterChar">
    <w:name w:val="Footer Char"/>
    <w:basedOn w:val="DefaultParagraphFont"/>
    <w:link w:val="Footer"/>
    <w:uiPriority w:val="99"/>
    <w:semiHidden/>
    <w:locked/>
    <w:rsid w:val="00D765A5"/>
    <w:rPr>
      <w:rFonts w:ascii="Arial" w:hAnsi="Arial" w:cs="Times New Roman"/>
      <w:sz w:val="24"/>
      <w:lang w:eastAsia="en-US"/>
    </w:rPr>
  </w:style>
  <w:style w:type="character" w:styleId="Hyperlink">
    <w:name w:val="Hyperlink"/>
    <w:basedOn w:val="DefaultParagraphFont"/>
    <w:uiPriority w:val="99"/>
    <w:rsid w:val="004B6391"/>
    <w:rPr>
      <w:rFonts w:cs="Times New Roman"/>
      <w:color w:val="0000FF"/>
      <w:u w:val="single"/>
    </w:rPr>
  </w:style>
  <w:style w:type="character" w:styleId="UnresolvedMention">
    <w:name w:val="Unresolved Mention"/>
    <w:basedOn w:val="DefaultParagraphFont"/>
    <w:uiPriority w:val="99"/>
    <w:semiHidden/>
    <w:unhideWhenUsed/>
    <w:rsid w:val="00F82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097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TEMPLATE FOR:</vt:lpstr>
    </vt:vector>
  </TitlesOfParts>
  <Company>Nottinghamshire Police</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JASP TM Cover Report 2022</dc:title>
  <dc:creator>c800059</dc:creator>
  <cp:lastModifiedBy>Emma Lau</cp:lastModifiedBy>
  <cp:revision>5</cp:revision>
  <cp:lastPrinted>2016-05-03T08:20:00Z</cp:lastPrinted>
  <dcterms:created xsi:type="dcterms:W3CDTF">2022-11-25T12:41:00Z</dcterms:created>
  <dcterms:modified xsi:type="dcterms:W3CDTF">2022-12-06T14:13:51Z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2022-03-07T13:40:39Z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9954679a-79da-43b8-af55-e0744f32df49</vt:lpwstr>
  </property>
  <property fmtid="{D5CDD505-2E9C-101B-9397-08002B2CF9AE}" pid="8" name="MSIP_Label_0c9a534a-49dd-43c4-b4e5-f206b4dbf0e4_ContentBits">
    <vt:lpwstr>0</vt:lpwstr>
  </property>
</Properties>
</file>